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22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0"/>
        <w:gridCol w:w="7212"/>
      </w:tblGrid>
      <w:tr w:rsidR="007A0180" w14:paraId="32197ECF" w14:textId="77777777" w:rsidTr="00F31DE9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CC4526A" w14:textId="51F2F878" w:rsidR="007A0180" w:rsidRDefault="007A0180" w:rsidP="00F31D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UPRAVNI ODJEL ZA POLJOPRIVREDU,</w:t>
            </w:r>
            <w:r w:rsidR="006307A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RURALNI RAZVOJ, ZAŠTITU OKOLIŠA I PRIRODE</w:t>
            </w:r>
          </w:p>
          <w:p w14:paraId="461516D3" w14:textId="2ACE2485" w:rsidR="007A0180" w:rsidRPr="007A0180" w:rsidRDefault="007A0180" w:rsidP="00F31DE9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IZMJENE I DOPUNE PRORAČUNA</w:t>
            </w:r>
          </w:p>
        </w:tc>
      </w:tr>
      <w:tr w:rsidR="00333816" w14:paraId="44337401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FD63290" w14:textId="77777777" w:rsidR="00333816" w:rsidRPr="006B0C96" w:rsidRDefault="00333816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 w:rsidRPr="006B0C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NAZIV PROGRAMA: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531164A" w14:textId="77777777" w:rsidR="00333816" w:rsidRDefault="00333816" w:rsidP="00F31D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5BB3">
              <w:rPr>
                <w:rFonts w:ascii="Arial" w:hAnsi="Arial" w:cs="Arial"/>
                <w:b/>
                <w:sz w:val="22"/>
                <w:szCs w:val="22"/>
              </w:rPr>
              <w:t>Razvoj poljoprivrede</w:t>
            </w:r>
          </w:p>
          <w:p w14:paraId="375EA02B" w14:textId="6AA519AA" w:rsidR="00062A07" w:rsidRPr="00865BB3" w:rsidRDefault="00776471" w:rsidP="00F31D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1.810.832,24 kn</w:t>
            </w:r>
          </w:p>
        </w:tc>
      </w:tr>
      <w:tr w:rsidR="00375636" w14:paraId="618D51AE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D477" w14:textId="77777777" w:rsidR="00375636" w:rsidRPr="006B0C96" w:rsidRDefault="00375636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</w:p>
          <w:p w14:paraId="52662351" w14:textId="42FBCF78" w:rsidR="00375636" w:rsidRPr="006B0C96" w:rsidRDefault="00375636" w:rsidP="00F31DE9">
            <w:pPr>
              <w:rPr>
                <w:b/>
                <w:lang w:eastAsia="ar-SA" w:bidi="ar-SA"/>
              </w:rPr>
            </w:pPr>
            <w:r w:rsidRPr="006B0C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AKTIVNOST :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C041" w14:textId="5207A5CD" w:rsidR="003812B2" w:rsidRPr="003812B2" w:rsidRDefault="00776471" w:rsidP="00F31DE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Poticanje poljoprivredne proizvodnje</w:t>
            </w:r>
          </w:p>
        </w:tc>
      </w:tr>
      <w:tr w:rsidR="00776471" w14:paraId="2D7A9A95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BFFF" w14:textId="6713B8B3" w:rsidR="00776471" w:rsidRPr="006B0C96" w:rsidRDefault="00776471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 w:rsidRPr="006B0C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POZICIJA: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3E7F" w14:textId="5B2DA443" w:rsidR="00776471" w:rsidRDefault="00776471" w:rsidP="00F31DE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2538-1 Subvencije polj</w:t>
            </w:r>
            <w:r w:rsidR="006307A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oprivrednicima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r-HR" w:bidi="ar-SA"/>
              </w:rPr>
              <w:t>, obrtnicima, malim i srednjim poduzetnicima</w:t>
            </w:r>
          </w:p>
          <w:p w14:paraId="445289BB" w14:textId="175FBE40" w:rsidR="00776471" w:rsidRPr="000C4CF4" w:rsidRDefault="00776471" w:rsidP="00F31DE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0C4CF4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hr-HR" w:bidi="ar-SA"/>
              </w:rPr>
              <w:t>1.735.832,24 kn</w:t>
            </w:r>
          </w:p>
        </w:tc>
      </w:tr>
      <w:tr w:rsidR="00375636" w14:paraId="1784FB9A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FA58" w14:textId="77777777" w:rsidR="00375636" w:rsidRPr="006B0C96" w:rsidRDefault="00375636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</w:p>
          <w:p w14:paraId="30EA7141" w14:textId="775AF44E" w:rsidR="00375636" w:rsidRPr="006B0C96" w:rsidRDefault="00375636" w:rsidP="00F31DE9">
            <w:pPr>
              <w:rPr>
                <w:b/>
                <w:lang w:eastAsia="ar-SA" w:bidi="ar-SA"/>
              </w:rPr>
            </w:pPr>
            <w:r w:rsidRPr="006B0C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CILJ PROGRAMA: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98FD" w14:textId="68B3C8F9" w:rsidR="00375636" w:rsidRPr="00663761" w:rsidRDefault="00663761" w:rsidP="00F31D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3761">
              <w:rPr>
                <w:rFonts w:ascii="Arial" w:hAnsi="Arial" w:cs="Arial"/>
                <w:sz w:val="20"/>
                <w:szCs w:val="20"/>
              </w:rPr>
              <w:t>Povećanje produktivnosti i stvaranje novih radnih mjesta na obiteljskim poljoprivrednim gospodarstvima, usvajanje novih znanja i tehnologija koj</w:t>
            </w:r>
            <w:r w:rsidR="006307AE">
              <w:rPr>
                <w:rFonts w:ascii="Arial" w:hAnsi="Arial" w:cs="Arial"/>
                <w:sz w:val="20"/>
                <w:szCs w:val="20"/>
              </w:rPr>
              <w:t>a</w:t>
            </w:r>
            <w:r w:rsidRPr="00663761">
              <w:rPr>
                <w:rFonts w:ascii="Arial" w:hAnsi="Arial" w:cs="Arial"/>
                <w:sz w:val="20"/>
                <w:szCs w:val="20"/>
              </w:rPr>
              <w:t xml:space="preserve"> se primjenjuj</w:t>
            </w:r>
            <w:r w:rsidR="006307AE">
              <w:rPr>
                <w:rFonts w:ascii="Arial" w:hAnsi="Arial" w:cs="Arial"/>
                <w:sz w:val="20"/>
                <w:szCs w:val="20"/>
              </w:rPr>
              <w:t>u</w:t>
            </w:r>
            <w:r w:rsidRPr="00663761">
              <w:rPr>
                <w:rFonts w:ascii="Arial" w:hAnsi="Arial" w:cs="Arial"/>
                <w:sz w:val="20"/>
                <w:szCs w:val="20"/>
              </w:rPr>
              <w:t xml:space="preserve"> u poljoprivrednoj proizvodnji, a sve u cilju kvalitetnijeg ukupnog razvoja Sisačko-moslavačke županije.</w:t>
            </w:r>
          </w:p>
        </w:tc>
      </w:tr>
      <w:tr w:rsidR="006B0C96" w14:paraId="180D7FF2" w14:textId="77777777" w:rsidTr="00F31DE9">
        <w:trPr>
          <w:trHeight w:val="1854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1B85F2" w14:textId="06D537BA" w:rsidR="006B0C96" w:rsidRPr="006B0C96" w:rsidRDefault="006B0C96" w:rsidP="00F31DE9">
            <w:pPr>
              <w:rPr>
                <w:b/>
                <w:lang w:eastAsia="ar-SA" w:bidi="ar-SA"/>
              </w:rPr>
            </w:pPr>
            <w:r w:rsidRPr="006B0C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OBRAZLOŽENJE PROGRAMA: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E67B6" w14:textId="7EEB2D42" w:rsidR="006B0C96" w:rsidRPr="00663761" w:rsidRDefault="00930872" w:rsidP="00F31D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Riječ je o</w:t>
            </w:r>
            <w:r w:rsidR="006B0C96" w:rsidRPr="008363D9">
              <w:rPr>
                <w:rFonts w:ascii="Arial" w:hAnsi="Arial" w:cs="Arial"/>
                <w:sz w:val="20"/>
                <w:szCs w:val="20"/>
              </w:rPr>
              <w:t xml:space="preserve"> na</w:t>
            </w:r>
            <w:r w:rsidR="006B0C96">
              <w:rPr>
                <w:rFonts w:ascii="Arial" w:hAnsi="Arial" w:cs="Arial"/>
                <w:sz w:val="20"/>
                <w:szCs w:val="20"/>
              </w:rPr>
              <w:t>mjensk</w:t>
            </w:r>
            <w:r>
              <w:rPr>
                <w:rFonts w:ascii="Arial" w:hAnsi="Arial" w:cs="Arial"/>
                <w:sz w:val="20"/>
                <w:szCs w:val="20"/>
              </w:rPr>
              <w:t>im</w:t>
            </w:r>
            <w:r w:rsidR="006B0C96">
              <w:rPr>
                <w:rFonts w:ascii="Arial" w:hAnsi="Arial" w:cs="Arial"/>
                <w:sz w:val="20"/>
                <w:szCs w:val="20"/>
              </w:rPr>
              <w:t xml:space="preserve"> sredstv</w:t>
            </w:r>
            <w:r>
              <w:rPr>
                <w:rFonts w:ascii="Arial" w:hAnsi="Arial" w:cs="Arial"/>
                <w:sz w:val="20"/>
                <w:szCs w:val="20"/>
              </w:rPr>
              <w:t>ima</w:t>
            </w:r>
            <w:r w:rsidR="006B0C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B0C96">
              <w:t>(</w:t>
            </w:r>
            <w:r w:rsidR="006B0C96" w:rsidRPr="006B0C96">
              <w:rPr>
                <w:rFonts w:ascii="Arial" w:hAnsi="Arial" w:cs="Arial"/>
                <w:sz w:val="20"/>
                <w:szCs w:val="20"/>
              </w:rPr>
              <w:t>sukladno članku 49. Zak</w:t>
            </w:r>
            <w:r w:rsidR="006B0C96">
              <w:rPr>
                <w:rFonts w:ascii="Arial" w:hAnsi="Arial" w:cs="Arial"/>
                <w:sz w:val="20"/>
                <w:szCs w:val="20"/>
              </w:rPr>
              <w:t xml:space="preserve">ona o poljoprivrednom zemljištu stavak 1. i 3. </w:t>
            </w:r>
            <w:r w:rsidR="006B0C96" w:rsidRPr="006B0C96">
              <w:rPr>
                <w:rFonts w:ascii="Arial" w:hAnsi="Arial" w:cs="Arial"/>
                <w:sz w:val="20"/>
                <w:szCs w:val="20"/>
              </w:rPr>
              <w:t>„Narodne nov</w:t>
            </w:r>
            <w:r w:rsidR="006B0C96">
              <w:rPr>
                <w:rFonts w:ascii="Arial" w:hAnsi="Arial" w:cs="Arial"/>
                <w:sz w:val="20"/>
                <w:szCs w:val="20"/>
              </w:rPr>
              <w:t>ine“, broj 20/18,115/18 i 98/19</w:t>
            </w:r>
            <w:r w:rsidR="006B0C96" w:rsidRPr="006B0C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B0C96">
              <w:rPr>
                <w:rFonts w:ascii="Arial" w:hAnsi="Arial" w:cs="Arial"/>
                <w:sz w:val="20"/>
                <w:szCs w:val="20"/>
              </w:rPr>
              <w:t>)</w:t>
            </w:r>
            <w:r w:rsidR="006B0C96" w:rsidRPr="006B0C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B0C96" w:rsidRPr="008363D9">
              <w:rPr>
                <w:rFonts w:ascii="Arial" w:hAnsi="Arial" w:cs="Arial"/>
                <w:sz w:val="20"/>
                <w:szCs w:val="20"/>
              </w:rPr>
              <w:t>koj</w:t>
            </w:r>
            <w:r w:rsidR="006307AE">
              <w:rPr>
                <w:rFonts w:ascii="Arial" w:hAnsi="Arial" w:cs="Arial"/>
                <w:sz w:val="20"/>
                <w:szCs w:val="20"/>
              </w:rPr>
              <w:t>a</w:t>
            </w:r>
            <w:r w:rsidR="006B0C96" w:rsidRPr="008363D9">
              <w:rPr>
                <w:rFonts w:ascii="Arial" w:hAnsi="Arial" w:cs="Arial"/>
                <w:sz w:val="20"/>
                <w:szCs w:val="20"/>
              </w:rPr>
              <w:t xml:space="preserve"> su priho</w:t>
            </w:r>
            <w:r w:rsidR="006B0C96">
              <w:rPr>
                <w:rFonts w:ascii="Arial" w:hAnsi="Arial" w:cs="Arial"/>
                <w:sz w:val="20"/>
                <w:szCs w:val="20"/>
              </w:rPr>
              <w:t>d od zakupa i kupoprodaje polj</w:t>
            </w:r>
            <w:r w:rsidR="006307AE">
              <w:rPr>
                <w:rFonts w:ascii="Arial" w:hAnsi="Arial" w:cs="Arial"/>
                <w:sz w:val="20"/>
                <w:szCs w:val="20"/>
              </w:rPr>
              <w:t>oprivrednog</w:t>
            </w:r>
            <w:r w:rsidR="006B0C96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6B0C96" w:rsidRPr="008363D9">
              <w:rPr>
                <w:rFonts w:ascii="Arial" w:hAnsi="Arial" w:cs="Arial"/>
                <w:sz w:val="20"/>
                <w:szCs w:val="20"/>
              </w:rPr>
              <w:t>emljišta. Kako u 2021. godini</w:t>
            </w:r>
            <w:r w:rsidR="00977EB7">
              <w:rPr>
                <w:rFonts w:ascii="Arial" w:hAnsi="Arial" w:cs="Arial"/>
                <w:sz w:val="20"/>
                <w:szCs w:val="20"/>
              </w:rPr>
              <w:t xml:space="preserve"> po toj Poziciji</w:t>
            </w:r>
            <w:r w:rsidR="006B0C96" w:rsidRPr="008363D9">
              <w:rPr>
                <w:rFonts w:ascii="Arial" w:hAnsi="Arial" w:cs="Arial"/>
                <w:sz w:val="20"/>
                <w:szCs w:val="20"/>
              </w:rPr>
              <w:t xml:space="preserve"> nismo ništa</w:t>
            </w:r>
            <w:r w:rsidR="00977EB7">
              <w:rPr>
                <w:rFonts w:ascii="Arial" w:hAnsi="Arial" w:cs="Arial"/>
                <w:sz w:val="20"/>
                <w:szCs w:val="20"/>
              </w:rPr>
              <w:t xml:space="preserve"> isplatili</w:t>
            </w:r>
            <w:r w:rsidR="006B0C96" w:rsidRPr="008363D9">
              <w:rPr>
                <w:rFonts w:ascii="Arial" w:hAnsi="Arial" w:cs="Arial"/>
                <w:sz w:val="20"/>
                <w:szCs w:val="20"/>
              </w:rPr>
              <w:t xml:space="preserve">, a </w:t>
            </w:r>
            <w:proofErr w:type="spellStart"/>
            <w:r w:rsidR="006307AE">
              <w:rPr>
                <w:rFonts w:ascii="Arial" w:hAnsi="Arial" w:cs="Arial"/>
                <w:sz w:val="20"/>
                <w:szCs w:val="20"/>
              </w:rPr>
              <w:t>uprihodovali</w:t>
            </w:r>
            <w:proofErr w:type="spellEnd"/>
            <w:r w:rsidR="006B0C96" w:rsidRPr="008363D9">
              <w:rPr>
                <w:rFonts w:ascii="Arial" w:hAnsi="Arial" w:cs="Arial"/>
                <w:sz w:val="20"/>
                <w:szCs w:val="20"/>
              </w:rPr>
              <w:t xml:space="preserve"> smo 970.832,24 kn</w:t>
            </w:r>
            <w:r>
              <w:rPr>
                <w:rFonts w:ascii="Arial" w:hAnsi="Arial" w:cs="Arial"/>
                <w:sz w:val="20"/>
                <w:szCs w:val="20"/>
              </w:rPr>
              <w:t>, namjera nam je</w:t>
            </w:r>
            <w:r w:rsidR="006B0C96" w:rsidRPr="008363D9">
              <w:rPr>
                <w:rFonts w:ascii="Arial" w:hAnsi="Arial" w:cs="Arial"/>
                <w:sz w:val="20"/>
                <w:szCs w:val="20"/>
              </w:rPr>
              <w:t xml:space="preserve"> ove godine</w:t>
            </w:r>
            <w:r>
              <w:rPr>
                <w:rFonts w:ascii="Arial" w:hAnsi="Arial" w:cs="Arial"/>
                <w:sz w:val="20"/>
                <w:szCs w:val="20"/>
              </w:rPr>
              <w:t xml:space="preserve"> u ranu jesen</w:t>
            </w:r>
            <w:r w:rsidR="006B0C96" w:rsidRPr="008363D9">
              <w:rPr>
                <w:rFonts w:ascii="Arial" w:hAnsi="Arial" w:cs="Arial"/>
                <w:sz w:val="20"/>
                <w:szCs w:val="20"/>
              </w:rPr>
              <w:t xml:space="preserve"> raspisati potpore u poljoprivredi u iznosu</w:t>
            </w:r>
            <w:r>
              <w:rPr>
                <w:rFonts w:ascii="Arial" w:hAnsi="Arial" w:cs="Arial"/>
                <w:sz w:val="20"/>
                <w:szCs w:val="20"/>
              </w:rPr>
              <w:t xml:space="preserve"> od</w:t>
            </w:r>
            <w:r w:rsidR="006B0C96" w:rsidRPr="008363D9">
              <w:rPr>
                <w:rFonts w:ascii="Arial" w:hAnsi="Arial" w:cs="Arial"/>
                <w:sz w:val="20"/>
                <w:szCs w:val="20"/>
              </w:rPr>
              <w:t xml:space="preserve"> oko 1.500.000,00 kn te iz tog razloga želimo iz proračunskog viška prebaciti navedena sredstva na spomenutu poziciju kako bi </w:t>
            </w:r>
            <w:r>
              <w:rPr>
                <w:rFonts w:ascii="Arial" w:hAnsi="Arial" w:cs="Arial"/>
                <w:sz w:val="20"/>
                <w:szCs w:val="20"/>
              </w:rPr>
              <w:t xml:space="preserve">osigurali uvjete za raspisivanje </w:t>
            </w:r>
            <w:r w:rsidR="006B0C96" w:rsidRPr="008363D9">
              <w:rPr>
                <w:rFonts w:ascii="Arial" w:hAnsi="Arial" w:cs="Arial"/>
                <w:sz w:val="20"/>
                <w:szCs w:val="20"/>
              </w:rPr>
              <w:t>Javn</w:t>
            </w:r>
            <w:r>
              <w:rPr>
                <w:rFonts w:ascii="Arial" w:hAnsi="Arial" w:cs="Arial"/>
                <w:sz w:val="20"/>
                <w:szCs w:val="20"/>
              </w:rPr>
              <w:t>og</w:t>
            </w:r>
            <w:r w:rsidR="006B0C96" w:rsidRPr="008363D9">
              <w:rPr>
                <w:rFonts w:ascii="Arial" w:hAnsi="Arial" w:cs="Arial"/>
                <w:sz w:val="20"/>
                <w:szCs w:val="20"/>
              </w:rPr>
              <w:t xml:space="preserve"> poziv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6B0C96" w:rsidRPr="008363D9">
              <w:rPr>
                <w:rFonts w:ascii="Arial" w:hAnsi="Arial" w:cs="Arial"/>
                <w:sz w:val="20"/>
                <w:szCs w:val="20"/>
              </w:rPr>
              <w:t xml:space="preserve"> za potpore u poljoprivredi.</w:t>
            </w:r>
            <w:r w:rsidR="006B0C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90DC1" w:rsidRPr="00333816" w14:paraId="73001B84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A83DB75" w14:textId="03F01150" w:rsidR="00590DC1" w:rsidRDefault="00590DC1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NAZIV PROGRAMA: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E668632" w14:textId="77777777" w:rsidR="00590DC1" w:rsidRPr="00990ADD" w:rsidRDefault="00590DC1" w:rsidP="00F31D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0ADD">
              <w:rPr>
                <w:rFonts w:ascii="Arial" w:hAnsi="Arial" w:cs="Arial"/>
                <w:b/>
                <w:sz w:val="20"/>
                <w:szCs w:val="20"/>
              </w:rPr>
              <w:t>Kreditiranje poljoprivredne proizvodnje</w:t>
            </w:r>
          </w:p>
          <w:p w14:paraId="7F86D757" w14:textId="758A73C0" w:rsidR="00590DC1" w:rsidRPr="00CB6EAB" w:rsidRDefault="00590DC1" w:rsidP="00F31D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6EE3">
              <w:rPr>
                <w:rFonts w:ascii="Arial" w:hAnsi="Arial" w:cs="Arial"/>
                <w:b/>
                <w:sz w:val="20"/>
                <w:szCs w:val="20"/>
              </w:rPr>
              <w:t xml:space="preserve">0,00 kuna </w:t>
            </w:r>
          </w:p>
        </w:tc>
      </w:tr>
      <w:tr w:rsidR="00FD3CE9" w:rsidRPr="00333816" w14:paraId="0F6C5B16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D71930" w14:textId="2121545F" w:rsidR="00FD3CE9" w:rsidRDefault="00FD3CE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AKTIVNOST: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EE4225" w14:textId="59E834EE" w:rsidR="00FD3CE9" w:rsidRPr="00C078A6" w:rsidRDefault="00FD3CE9" w:rsidP="00F31D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78A6">
              <w:rPr>
                <w:rFonts w:ascii="Arial" w:hAnsi="Arial" w:cs="Arial"/>
                <w:sz w:val="20"/>
                <w:szCs w:val="20"/>
              </w:rPr>
              <w:t>Otplata kredita</w:t>
            </w:r>
          </w:p>
        </w:tc>
      </w:tr>
      <w:tr w:rsidR="00FD3CE9" w:rsidRPr="00333816" w14:paraId="4B099793" w14:textId="77777777" w:rsidTr="0045470E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9C30C7" w14:textId="1AFF5533" w:rsidR="00FD3CE9" w:rsidRDefault="00FD3CE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POZICIJA</w:t>
            </w:r>
            <w:r w:rsidR="004547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: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14E3A8" w14:textId="77777777" w:rsidR="00070041" w:rsidRDefault="00FD3CE9" w:rsidP="00F31D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78A6">
              <w:rPr>
                <w:rFonts w:ascii="Arial" w:hAnsi="Arial" w:cs="Arial"/>
                <w:sz w:val="20"/>
                <w:szCs w:val="20"/>
              </w:rPr>
              <w:t>2552-1</w:t>
            </w:r>
            <w:r w:rsidR="00070041">
              <w:rPr>
                <w:rFonts w:ascii="Arial" w:hAnsi="Arial" w:cs="Arial"/>
                <w:sz w:val="20"/>
                <w:szCs w:val="20"/>
              </w:rPr>
              <w:t xml:space="preserve"> Otplata glavnice primljenih zajmova od državnog proračuna </w:t>
            </w:r>
          </w:p>
          <w:p w14:paraId="4D081B3B" w14:textId="5571D568" w:rsidR="00FD3CE9" w:rsidRPr="00070041" w:rsidRDefault="00070041" w:rsidP="00F31D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0041">
              <w:rPr>
                <w:rFonts w:ascii="Arial" w:hAnsi="Arial" w:cs="Arial"/>
                <w:b/>
                <w:sz w:val="20"/>
                <w:szCs w:val="20"/>
              </w:rPr>
              <w:t>0,00 kn</w:t>
            </w:r>
          </w:p>
        </w:tc>
      </w:tr>
      <w:tr w:rsidR="00FD3CE9" w:rsidRPr="00333816" w14:paraId="7B9CCBD0" w14:textId="77777777" w:rsidTr="0045470E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DF6A" w14:textId="77777777" w:rsidR="00FD3CE9" w:rsidRDefault="00FD3CE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</w:p>
          <w:p w14:paraId="11DF1C44" w14:textId="23DC1D09" w:rsidR="00FD3CE9" w:rsidRDefault="00FD3CE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OBRAZLOŽENJE PROGRAMA</w:t>
            </w:r>
            <w:r w:rsidR="004547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:</w:t>
            </w:r>
          </w:p>
        </w:tc>
        <w:tc>
          <w:tcPr>
            <w:tcW w:w="7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3ECE" w14:textId="77777777" w:rsidR="00FD3CE9" w:rsidRPr="00990ADD" w:rsidRDefault="00FD3CE9" w:rsidP="00F31D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ADD">
              <w:rPr>
                <w:rFonts w:ascii="Arial" w:hAnsi="Arial" w:cs="Arial"/>
                <w:sz w:val="20"/>
                <w:szCs w:val="20"/>
              </w:rPr>
              <w:t>Sisačko-moslavačka županija je s Ministarstvom poljoprivrede i šumarstva (sada Ministarstvo poljoprivrede) zaključila Ugovor o poslovnoj suradnji u provedbi Programa kreditiranja razvitka poljoprivrede za 2001. godinu, te za 2002. i 2003. godinu. Sukladno članku 10. navedenih ugovora naplaćena sredstva od krajnjih korisnika kredita koja se odnose na povrat dijela kredita odobrenih iz sredstava Ministarstva, banka će prenositi svakog petnaestog dana u mjesecu za prethodni mjesec u korist računa Državnog proračuna Republike Hrvatske.</w:t>
            </w:r>
          </w:p>
          <w:p w14:paraId="53766AA8" w14:textId="77777777" w:rsidR="00FD3CE9" w:rsidRPr="00990ADD" w:rsidRDefault="00FD3CE9" w:rsidP="00F31D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ADD">
              <w:rPr>
                <w:rFonts w:ascii="Arial" w:hAnsi="Arial" w:cs="Arial"/>
                <w:sz w:val="20"/>
                <w:szCs w:val="20"/>
              </w:rPr>
              <w:t>Sisačko-moslavačka županija je od 2007. godine tražila Ministarstvo brojeve  računa Državnog proračuna Republike Hrvatske kako bi mogla obavijestiti odabrane banke da razmjerno uplaćuju sredstva od povrata ovog kreditnog Programa u Državni proračun, odnosno proračun Sisačko-moslavačke županije. Tražene brojeve računa nam je Ministarstvo poljoprivrede dostavilo tek 8. veljače 2013. godine.</w:t>
            </w:r>
          </w:p>
          <w:p w14:paraId="00E698C2" w14:textId="29C96993" w:rsidR="00FD3CE9" w:rsidRPr="00990ADD" w:rsidRDefault="00FD3CE9" w:rsidP="00F31D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ADD">
              <w:rPr>
                <w:rFonts w:ascii="Arial" w:hAnsi="Arial" w:cs="Arial"/>
                <w:sz w:val="20"/>
                <w:szCs w:val="20"/>
              </w:rPr>
              <w:t xml:space="preserve">Odmah po primitku brojeva računa za uplatu povrata sredstava u proračun Republike Hrvatske za Sisačko-moslavačku županiju o istima smo obavijestili Hrvatsku poštansku banku d.d. i Privrednu banku Zagreb d.d. te od njih tražili da </w:t>
            </w:r>
            <w:r w:rsidR="00977EB7">
              <w:rPr>
                <w:rFonts w:ascii="Arial" w:hAnsi="Arial" w:cs="Arial"/>
                <w:sz w:val="20"/>
                <w:szCs w:val="20"/>
              </w:rPr>
              <w:t>iz</w:t>
            </w:r>
            <w:r w:rsidRPr="00990ADD">
              <w:rPr>
                <w:rFonts w:ascii="Arial" w:hAnsi="Arial" w:cs="Arial"/>
                <w:sz w:val="20"/>
                <w:szCs w:val="20"/>
              </w:rPr>
              <w:t xml:space="preserve">vrše </w:t>
            </w:r>
            <w:proofErr w:type="spellStart"/>
            <w:r w:rsidRPr="00990ADD">
              <w:rPr>
                <w:rFonts w:ascii="Arial" w:hAnsi="Arial" w:cs="Arial"/>
                <w:sz w:val="20"/>
                <w:szCs w:val="20"/>
              </w:rPr>
              <w:t>srazmjernu</w:t>
            </w:r>
            <w:proofErr w:type="spellEnd"/>
            <w:r w:rsidRPr="00990ADD">
              <w:rPr>
                <w:rFonts w:ascii="Arial" w:hAnsi="Arial" w:cs="Arial"/>
                <w:sz w:val="20"/>
                <w:szCs w:val="20"/>
              </w:rPr>
              <w:t xml:space="preserve"> uplatu sredstava u proračun Republike Hrvatske, odnosno proračun Sisačko-moslavačke županije. Banke su postupile slijedom naše obavijesti  te počele sa </w:t>
            </w:r>
            <w:proofErr w:type="spellStart"/>
            <w:r w:rsidRPr="00990ADD">
              <w:rPr>
                <w:rFonts w:ascii="Arial" w:hAnsi="Arial" w:cs="Arial"/>
                <w:sz w:val="20"/>
                <w:szCs w:val="20"/>
              </w:rPr>
              <w:t>srazmjernom</w:t>
            </w:r>
            <w:proofErr w:type="spellEnd"/>
            <w:r w:rsidRPr="00990ADD">
              <w:rPr>
                <w:rFonts w:ascii="Arial" w:hAnsi="Arial" w:cs="Arial"/>
                <w:sz w:val="20"/>
                <w:szCs w:val="20"/>
              </w:rPr>
              <w:t xml:space="preserve">  uplatom</w:t>
            </w:r>
            <w:r w:rsidR="00977EB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C9C3089" w14:textId="77777777" w:rsidR="00FD3CE9" w:rsidRDefault="00FD3CE9" w:rsidP="00F31D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ADD">
              <w:rPr>
                <w:rFonts w:ascii="Arial" w:hAnsi="Arial" w:cs="Arial"/>
                <w:sz w:val="20"/>
                <w:szCs w:val="20"/>
              </w:rPr>
              <w:t xml:space="preserve">Obzirom da su tek od ožujka 2013. godine banke počele vršiti </w:t>
            </w:r>
            <w:proofErr w:type="spellStart"/>
            <w:r w:rsidRPr="00990ADD">
              <w:rPr>
                <w:rFonts w:ascii="Arial" w:hAnsi="Arial" w:cs="Arial"/>
                <w:sz w:val="20"/>
                <w:szCs w:val="20"/>
              </w:rPr>
              <w:t>srazmjernu</w:t>
            </w:r>
            <w:proofErr w:type="spellEnd"/>
            <w:r w:rsidRPr="00990ADD">
              <w:rPr>
                <w:rFonts w:ascii="Arial" w:hAnsi="Arial" w:cs="Arial"/>
                <w:sz w:val="20"/>
                <w:szCs w:val="20"/>
              </w:rPr>
              <w:t xml:space="preserve"> uplatu, a do tada su sva sredstva bila uplaćivana u proračun Sisačko-moslavačke županije  nastao je dug koji se trebao vratiti u Državni proračun Republike Hrvatske.</w:t>
            </w:r>
          </w:p>
          <w:p w14:paraId="374C0D08" w14:textId="0EFEE026" w:rsidR="00FD3CE9" w:rsidRDefault="00FD3CE9" w:rsidP="00F31D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ADD">
              <w:rPr>
                <w:rFonts w:ascii="Arial" w:hAnsi="Arial" w:cs="Arial"/>
                <w:sz w:val="20"/>
                <w:szCs w:val="20"/>
              </w:rPr>
              <w:t xml:space="preserve">Osnovni cilj ove aktivnosti je povrat duga koji se temelji na (Predmet: Revizija financijskog poslovanja Sisačko-moslavačke županije vezano uz sredstva za kreditiranje poljoprivrede, očitovanje, traži se KLASA: 403-01/11-01/6, Urbroj:0525-07/0539-14-208, Zagreb, 25. travnja 2014. godine ) zahtjevu </w:t>
            </w:r>
            <w:r w:rsidRPr="00990ADD">
              <w:rPr>
                <w:rFonts w:ascii="Arial" w:hAnsi="Arial" w:cs="Arial"/>
                <w:sz w:val="20"/>
                <w:szCs w:val="20"/>
              </w:rPr>
              <w:lastRenderedPageBreak/>
              <w:t>Ministarstva poljoprivrede i Državne revizije</w:t>
            </w:r>
          </w:p>
        </w:tc>
      </w:tr>
      <w:tr w:rsidR="00FD3CE9" w:rsidRPr="00333816" w14:paraId="4130C674" w14:textId="77777777" w:rsidTr="0045470E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B77E" w14:textId="77777777" w:rsidR="00FD3CE9" w:rsidRDefault="00FD3CE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</w:p>
          <w:p w14:paraId="364F90A0" w14:textId="7D473CA2" w:rsidR="00FD3CE9" w:rsidRDefault="00FD3CE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</w:p>
        </w:tc>
        <w:tc>
          <w:tcPr>
            <w:tcW w:w="7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276A" w14:textId="231BCD35" w:rsidR="00FD3CE9" w:rsidRDefault="00FD3CE9" w:rsidP="00F31D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DC1" w:rsidRPr="00333816" w14:paraId="51A8C279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BF54" w14:textId="7B339F97" w:rsidR="00590DC1" w:rsidRDefault="00FD3CE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OPIS/CILJ PROGRAMA: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EBF15" w14:textId="68B7B333" w:rsidR="00CD5B5A" w:rsidRDefault="00FD3CE9" w:rsidP="00F31D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Obzirom na katastrofalni potres </w:t>
            </w:r>
            <w:r w:rsidR="00CD5B5A">
              <w:rPr>
                <w:rFonts w:ascii="Arial" w:hAnsi="Arial" w:cs="Arial"/>
                <w:sz w:val="20"/>
                <w:szCs w:val="20"/>
              </w:rPr>
              <w:t xml:space="preserve">koji je zadesio Sisačko-moslavačku županiju u </w:t>
            </w:r>
            <w:r>
              <w:rPr>
                <w:rFonts w:ascii="Arial" w:hAnsi="Arial" w:cs="Arial"/>
                <w:sz w:val="20"/>
                <w:szCs w:val="20"/>
              </w:rPr>
              <w:t xml:space="preserve"> prosinc</w:t>
            </w:r>
            <w:r w:rsidR="00CD5B5A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 2020. godine</w:t>
            </w:r>
            <w:r w:rsidR="00CD5B5A">
              <w:rPr>
                <w:rFonts w:ascii="Arial" w:hAnsi="Arial" w:cs="Arial"/>
                <w:sz w:val="20"/>
                <w:szCs w:val="20"/>
              </w:rPr>
              <w:t xml:space="preserve"> Ministarstvo poljoprivrede da</w:t>
            </w:r>
            <w:r w:rsidR="00AA1831">
              <w:rPr>
                <w:rFonts w:ascii="Arial" w:hAnsi="Arial" w:cs="Arial"/>
                <w:sz w:val="20"/>
                <w:szCs w:val="20"/>
              </w:rPr>
              <w:t>l</w:t>
            </w:r>
            <w:r w:rsidR="00CD5B5A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je </w:t>
            </w:r>
            <w:r w:rsidR="00CD5B5A">
              <w:rPr>
                <w:rFonts w:ascii="Arial" w:hAnsi="Arial" w:cs="Arial"/>
                <w:sz w:val="20"/>
                <w:szCs w:val="20"/>
              </w:rPr>
              <w:t xml:space="preserve">„novu“ </w:t>
            </w:r>
            <w:r>
              <w:rPr>
                <w:rFonts w:ascii="Arial" w:hAnsi="Arial" w:cs="Arial"/>
                <w:sz w:val="20"/>
                <w:szCs w:val="20"/>
              </w:rPr>
              <w:t xml:space="preserve">Suglasnost </w:t>
            </w:r>
            <w:r w:rsidR="00CD5B5A">
              <w:rPr>
                <w:rFonts w:ascii="Arial" w:hAnsi="Arial" w:cs="Arial"/>
                <w:sz w:val="20"/>
                <w:szCs w:val="20"/>
              </w:rPr>
              <w:t>za prihvat dinamike uplate po terminskom planu povrata kumuliranog duga po kreditima iz udruženih sre</w:t>
            </w:r>
            <w:r w:rsidR="00AA1831">
              <w:rPr>
                <w:rFonts w:ascii="Arial" w:hAnsi="Arial" w:cs="Arial"/>
                <w:sz w:val="20"/>
                <w:szCs w:val="20"/>
              </w:rPr>
              <w:t xml:space="preserve">dstava </w:t>
            </w:r>
            <w:r w:rsidR="00AE71F6">
              <w:rPr>
                <w:rFonts w:ascii="Arial" w:hAnsi="Arial" w:cs="Arial"/>
                <w:sz w:val="20"/>
                <w:szCs w:val="20"/>
              </w:rPr>
              <w:t>M</w:t>
            </w:r>
            <w:r w:rsidR="00AA1831">
              <w:rPr>
                <w:rFonts w:ascii="Arial" w:hAnsi="Arial" w:cs="Arial"/>
                <w:sz w:val="20"/>
                <w:szCs w:val="20"/>
              </w:rPr>
              <w:t xml:space="preserve">inistarstva i </w:t>
            </w:r>
            <w:r w:rsidR="00AE71F6">
              <w:rPr>
                <w:rFonts w:ascii="Arial" w:hAnsi="Arial" w:cs="Arial"/>
                <w:sz w:val="20"/>
                <w:szCs w:val="20"/>
              </w:rPr>
              <w:t>Ž</w:t>
            </w:r>
            <w:r w:rsidR="00AA1831">
              <w:rPr>
                <w:rFonts w:ascii="Arial" w:hAnsi="Arial" w:cs="Arial"/>
                <w:sz w:val="20"/>
                <w:szCs w:val="20"/>
              </w:rPr>
              <w:t xml:space="preserve">upanije </w:t>
            </w:r>
            <w:r w:rsidR="007B600F">
              <w:rPr>
                <w:rFonts w:ascii="Arial" w:hAnsi="Arial" w:cs="Arial"/>
                <w:sz w:val="20"/>
                <w:szCs w:val="20"/>
              </w:rPr>
              <w:t>(</w:t>
            </w:r>
            <w:r w:rsidR="00CD5B5A">
              <w:rPr>
                <w:rFonts w:ascii="Arial" w:hAnsi="Arial" w:cs="Arial"/>
                <w:sz w:val="20"/>
                <w:szCs w:val="20"/>
              </w:rPr>
              <w:t>21. travnja 2022. godine KLASA:</w:t>
            </w:r>
            <w:r w:rsidR="007950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5B5A">
              <w:rPr>
                <w:rFonts w:ascii="Arial" w:hAnsi="Arial" w:cs="Arial"/>
                <w:sz w:val="20"/>
                <w:szCs w:val="20"/>
              </w:rPr>
              <w:t>403-01/11-01/6; URBROJ: 525-06/220-22-665).</w:t>
            </w:r>
          </w:p>
          <w:p w14:paraId="7048213F" w14:textId="79DC5F7F" w:rsidR="00CD5B5A" w:rsidRDefault="00FD3CE9" w:rsidP="00F31D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E9">
              <w:rPr>
                <w:rFonts w:ascii="Arial" w:hAnsi="Arial" w:cs="Arial"/>
                <w:sz w:val="20"/>
                <w:szCs w:val="20"/>
              </w:rPr>
              <w:t xml:space="preserve">Osnovna razlika </w:t>
            </w:r>
            <w:r w:rsidR="00CD5B5A">
              <w:rPr>
                <w:rFonts w:ascii="Arial" w:hAnsi="Arial" w:cs="Arial"/>
                <w:sz w:val="20"/>
                <w:szCs w:val="20"/>
              </w:rPr>
              <w:t>između prijašnje</w:t>
            </w:r>
            <w:r w:rsidR="00F96C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5B5A">
              <w:rPr>
                <w:rFonts w:ascii="Arial" w:hAnsi="Arial" w:cs="Arial"/>
                <w:sz w:val="20"/>
                <w:szCs w:val="20"/>
              </w:rPr>
              <w:t xml:space="preserve">i „nove“ </w:t>
            </w:r>
            <w:r w:rsidR="00F96C79">
              <w:rPr>
                <w:rFonts w:ascii="Arial" w:hAnsi="Arial" w:cs="Arial"/>
                <w:sz w:val="20"/>
                <w:szCs w:val="20"/>
              </w:rPr>
              <w:t xml:space="preserve">Suglasnosti </w:t>
            </w:r>
            <w:r w:rsidRPr="00FD3CE9">
              <w:rPr>
                <w:rFonts w:ascii="Arial" w:hAnsi="Arial" w:cs="Arial"/>
                <w:sz w:val="20"/>
                <w:szCs w:val="20"/>
              </w:rPr>
              <w:t xml:space="preserve">je u tome </w:t>
            </w:r>
            <w:r w:rsidR="00CD5B5A">
              <w:rPr>
                <w:rFonts w:ascii="Arial" w:hAnsi="Arial" w:cs="Arial"/>
                <w:sz w:val="20"/>
                <w:szCs w:val="20"/>
              </w:rPr>
              <w:t>što je</w:t>
            </w:r>
            <w:r w:rsidRPr="00FD3CE9">
              <w:rPr>
                <w:rFonts w:ascii="Arial" w:hAnsi="Arial" w:cs="Arial"/>
                <w:sz w:val="20"/>
                <w:szCs w:val="20"/>
              </w:rPr>
              <w:t xml:space="preserve"> krajnji rok za povrat sredstava </w:t>
            </w:r>
            <w:r w:rsidR="00F96C79">
              <w:rPr>
                <w:rFonts w:ascii="Arial" w:hAnsi="Arial" w:cs="Arial"/>
                <w:sz w:val="20"/>
                <w:szCs w:val="20"/>
              </w:rPr>
              <w:t xml:space="preserve">po prijašnjoj Suglasnosti </w:t>
            </w:r>
            <w:r w:rsidR="00C24001">
              <w:rPr>
                <w:rFonts w:ascii="Arial" w:hAnsi="Arial" w:cs="Arial"/>
                <w:sz w:val="20"/>
                <w:szCs w:val="20"/>
              </w:rPr>
              <w:t>(</w:t>
            </w:r>
            <w:r w:rsidR="00F96C79">
              <w:rPr>
                <w:rFonts w:ascii="Arial" w:hAnsi="Arial" w:cs="Arial"/>
                <w:sz w:val="20"/>
                <w:szCs w:val="20"/>
              </w:rPr>
              <w:t>iz 2019.</w:t>
            </w:r>
            <w:r w:rsidR="00C75A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6C79">
              <w:rPr>
                <w:rFonts w:ascii="Arial" w:hAnsi="Arial" w:cs="Arial"/>
                <w:sz w:val="20"/>
                <w:szCs w:val="20"/>
              </w:rPr>
              <w:t>godine</w:t>
            </w:r>
            <w:r w:rsidR="00C24001">
              <w:rPr>
                <w:rFonts w:ascii="Arial" w:hAnsi="Arial" w:cs="Arial"/>
                <w:sz w:val="20"/>
                <w:szCs w:val="20"/>
              </w:rPr>
              <w:t>)</w:t>
            </w:r>
            <w:r w:rsidR="00F96C79">
              <w:rPr>
                <w:rFonts w:ascii="Arial" w:hAnsi="Arial" w:cs="Arial"/>
                <w:sz w:val="20"/>
                <w:szCs w:val="20"/>
              </w:rPr>
              <w:t xml:space="preserve"> bi</w:t>
            </w:r>
            <w:r w:rsidR="00C24001">
              <w:rPr>
                <w:rFonts w:ascii="Arial" w:hAnsi="Arial" w:cs="Arial"/>
                <w:sz w:val="20"/>
                <w:szCs w:val="20"/>
              </w:rPr>
              <w:t>o do</w:t>
            </w:r>
            <w:r w:rsidR="00F96C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600F">
              <w:rPr>
                <w:rFonts w:ascii="Arial" w:hAnsi="Arial" w:cs="Arial"/>
                <w:sz w:val="20"/>
                <w:szCs w:val="20"/>
              </w:rPr>
              <w:t>31.12.</w:t>
            </w:r>
            <w:r w:rsidR="00F96C79">
              <w:rPr>
                <w:rFonts w:ascii="Arial" w:hAnsi="Arial" w:cs="Arial"/>
                <w:sz w:val="20"/>
                <w:szCs w:val="20"/>
              </w:rPr>
              <w:t>2027. godin</w:t>
            </w:r>
            <w:r w:rsidR="00C24001">
              <w:rPr>
                <w:rFonts w:ascii="Arial" w:hAnsi="Arial" w:cs="Arial"/>
                <w:sz w:val="20"/>
                <w:szCs w:val="20"/>
              </w:rPr>
              <w:t>e</w:t>
            </w:r>
            <w:r w:rsidR="00F96C7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24001">
              <w:rPr>
                <w:rFonts w:ascii="Arial" w:hAnsi="Arial" w:cs="Arial"/>
                <w:sz w:val="20"/>
                <w:szCs w:val="20"/>
              </w:rPr>
              <w:t>dok je</w:t>
            </w:r>
            <w:r w:rsidR="00F96C79">
              <w:rPr>
                <w:rFonts w:ascii="Arial" w:hAnsi="Arial" w:cs="Arial"/>
                <w:sz w:val="20"/>
                <w:szCs w:val="20"/>
              </w:rPr>
              <w:t xml:space="preserve"> po novoj Suglasnosti krajnji rok za povrat kumuliranog duga do </w:t>
            </w:r>
            <w:r w:rsidR="007B600F">
              <w:rPr>
                <w:rFonts w:ascii="Arial" w:hAnsi="Arial" w:cs="Arial"/>
                <w:sz w:val="20"/>
                <w:szCs w:val="20"/>
              </w:rPr>
              <w:t>31.12.</w:t>
            </w:r>
            <w:r w:rsidR="00F96C79">
              <w:rPr>
                <w:rFonts w:ascii="Arial" w:hAnsi="Arial" w:cs="Arial"/>
                <w:sz w:val="20"/>
                <w:szCs w:val="20"/>
              </w:rPr>
              <w:t>2029. godine</w:t>
            </w:r>
            <w:r w:rsidR="00C24001">
              <w:rPr>
                <w:rFonts w:ascii="Arial" w:hAnsi="Arial" w:cs="Arial"/>
                <w:sz w:val="20"/>
                <w:szCs w:val="20"/>
              </w:rPr>
              <w:t>.</w:t>
            </w:r>
            <w:r w:rsidR="00C75A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089">
              <w:rPr>
                <w:rFonts w:ascii="Arial" w:hAnsi="Arial" w:cs="Arial"/>
                <w:sz w:val="20"/>
                <w:szCs w:val="20"/>
              </w:rPr>
              <w:t xml:space="preserve">Temeljem </w:t>
            </w:r>
            <w:r w:rsidR="007B600F">
              <w:rPr>
                <w:rFonts w:ascii="Arial" w:hAnsi="Arial" w:cs="Arial"/>
                <w:sz w:val="20"/>
                <w:szCs w:val="20"/>
              </w:rPr>
              <w:t>navedenog dokumenta</w:t>
            </w:r>
            <w:r w:rsidR="00C24001">
              <w:rPr>
                <w:rFonts w:ascii="Arial" w:hAnsi="Arial" w:cs="Arial"/>
                <w:sz w:val="20"/>
                <w:szCs w:val="20"/>
              </w:rPr>
              <w:t xml:space="preserve"> Ministarstvo poljoprivrede je suglasno s izmjenom Terminskog plana povrata kumuliranog duga u iznosu 3.688.990,81 kuna </w:t>
            </w:r>
            <w:r w:rsidR="00061089">
              <w:rPr>
                <w:rFonts w:ascii="Arial" w:hAnsi="Arial" w:cs="Arial"/>
                <w:sz w:val="20"/>
                <w:szCs w:val="20"/>
              </w:rPr>
              <w:t>u državni proračun sljedećom godišnjom dinamikom:</w:t>
            </w:r>
            <w:r w:rsidR="00C75A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20C7">
              <w:rPr>
                <w:rFonts w:ascii="Arial" w:hAnsi="Arial" w:cs="Arial"/>
                <w:sz w:val="20"/>
                <w:szCs w:val="20"/>
              </w:rPr>
              <w:t>2022.-2025.</w:t>
            </w:r>
            <w:r w:rsidR="00C75AD0">
              <w:rPr>
                <w:rFonts w:ascii="Arial" w:hAnsi="Arial" w:cs="Arial"/>
                <w:sz w:val="20"/>
                <w:szCs w:val="20"/>
              </w:rPr>
              <w:t>g.</w:t>
            </w:r>
            <w:r w:rsidR="00F820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5AD0">
              <w:rPr>
                <w:rFonts w:ascii="Arial" w:hAnsi="Arial" w:cs="Arial"/>
                <w:sz w:val="20"/>
                <w:szCs w:val="20"/>
              </w:rPr>
              <w:t xml:space="preserve">0,00 </w:t>
            </w:r>
            <w:r w:rsidR="00F820C7">
              <w:rPr>
                <w:rFonts w:ascii="Arial" w:hAnsi="Arial" w:cs="Arial"/>
                <w:sz w:val="20"/>
                <w:szCs w:val="20"/>
              </w:rPr>
              <w:t>kuna</w:t>
            </w:r>
            <w:r w:rsidR="00C75AD0">
              <w:rPr>
                <w:rFonts w:ascii="Arial" w:hAnsi="Arial" w:cs="Arial"/>
                <w:sz w:val="20"/>
                <w:szCs w:val="20"/>
              </w:rPr>
              <w:t>;</w:t>
            </w:r>
            <w:r w:rsidR="00F820C7">
              <w:rPr>
                <w:rFonts w:ascii="Arial" w:hAnsi="Arial" w:cs="Arial"/>
                <w:sz w:val="20"/>
                <w:szCs w:val="20"/>
              </w:rPr>
              <w:t xml:space="preserve"> 2022. g. 614.831,77 kn</w:t>
            </w:r>
            <w:r w:rsidR="00C75AD0">
              <w:rPr>
                <w:rFonts w:ascii="Arial" w:hAnsi="Arial" w:cs="Arial"/>
                <w:sz w:val="20"/>
                <w:szCs w:val="20"/>
              </w:rPr>
              <w:t>;</w:t>
            </w:r>
            <w:r w:rsidR="00F820C7">
              <w:rPr>
                <w:rFonts w:ascii="Arial" w:hAnsi="Arial" w:cs="Arial"/>
                <w:sz w:val="20"/>
                <w:szCs w:val="20"/>
              </w:rPr>
              <w:t xml:space="preserve"> 2027. g. 614.831,80 kn</w:t>
            </w:r>
            <w:r w:rsidR="00C75AD0">
              <w:rPr>
                <w:rFonts w:ascii="Arial" w:hAnsi="Arial" w:cs="Arial"/>
                <w:sz w:val="20"/>
                <w:szCs w:val="20"/>
              </w:rPr>
              <w:t>;</w:t>
            </w:r>
            <w:r w:rsidR="00F820C7">
              <w:rPr>
                <w:rFonts w:ascii="Arial" w:hAnsi="Arial" w:cs="Arial"/>
                <w:sz w:val="20"/>
                <w:szCs w:val="20"/>
              </w:rPr>
              <w:t xml:space="preserve"> 2028. g. 1.229.663,62 kn</w:t>
            </w:r>
            <w:r w:rsidR="00C75AD0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F820C7">
              <w:rPr>
                <w:rFonts w:ascii="Arial" w:hAnsi="Arial" w:cs="Arial"/>
                <w:sz w:val="20"/>
                <w:szCs w:val="20"/>
              </w:rPr>
              <w:t>2029. g. 1.229.663,62 kn</w:t>
            </w:r>
            <w:r w:rsidR="00107DFB">
              <w:rPr>
                <w:rFonts w:ascii="Arial" w:hAnsi="Arial" w:cs="Arial"/>
                <w:sz w:val="20"/>
                <w:szCs w:val="20"/>
              </w:rPr>
              <w:t>.</w:t>
            </w:r>
            <w:r w:rsidR="00C75A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24AA5F" w14:textId="771965BB" w:rsidR="00590DC1" w:rsidRDefault="00590DC1" w:rsidP="00F31D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8A6" w:rsidRPr="00C078A6" w14:paraId="481607A5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EA24A27" w14:textId="3B3EDE2F" w:rsidR="00542E99" w:rsidRPr="00C078A6" w:rsidRDefault="00542E9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 w:rsidRPr="00C078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NAZIV PROGRAMA: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D299F59" w14:textId="296F89D2" w:rsidR="00542E99" w:rsidRPr="00C078A6" w:rsidRDefault="00C078A6" w:rsidP="00F31D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78A6">
              <w:rPr>
                <w:rFonts w:ascii="Arial" w:hAnsi="Arial" w:cs="Arial"/>
                <w:b/>
                <w:sz w:val="20"/>
                <w:szCs w:val="20"/>
              </w:rPr>
              <w:t>Razvoj slatkovodnog ribarstva</w:t>
            </w:r>
          </w:p>
          <w:p w14:paraId="53037E6D" w14:textId="588708EC" w:rsidR="0077685E" w:rsidRPr="00C078A6" w:rsidRDefault="00C078A6" w:rsidP="00F31D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78A6">
              <w:rPr>
                <w:rFonts w:ascii="Arial" w:hAnsi="Arial" w:cs="Arial"/>
                <w:b/>
                <w:sz w:val="20"/>
                <w:szCs w:val="20"/>
              </w:rPr>
              <w:t>1.000,00 kn</w:t>
            </w:r>
          </w:p>
        </w:tc>
      </w:tr>
      <w:tr w:rsidR="00C078A6" w:rsidRPr="00C078A6" w14:paraId="0D6ACCE2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7555" w14:textId="77777777" w:rsidR="00542E99" w:rsidRPr="00C078A6" w:rsidRDefault="00542E9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</w:p>
          <w:p w14:paraId="2B2C651F" w14:textId="724829EC" w:rsidR="00542E99" w:rsidRPr="00C078A6" w:rsidRDefault="00542E9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 w:rsidRPr="00C078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AKTIVNOST</w:t>
            </w:r>
            <w:r w:rsidRPr="00C078A6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 :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1A38" w14:textId="476B8623" w:rsidR="00542E99" w:rsidRPr="00F31DE9" w:rsidRDefault="00B92693" w:rsidP="00F31D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DE9">
              <w:rPr>
                <w:rFonts w:ascii="Arial" w:hAnsi="Arial" w:cs="Arial"/>
                <w:sz w:val="20"/>
                <w:szCs w:val="20"/>
              </w:rPr>
              <w:t>Subvencije korisnicima povlastica ribolovne zone na području Sisačko-moslavačke županije S1</w:t>
            </w:r>
            <w:r w:rsidR="00BE14BA" w:rsidRPr="00F31DE9">
              <w:rPr>
                <w:rFonts w:ascii="Arial" w:hAnsi="Arial" w:cs="Arial"/>
                <w:sz w:val="20"/>
                <w:szCs w:val="20"/>
              </w:rPr>
              <w:t>-</w:t>
            </w:r>
            <w:r w:rsidRPr="00F31DE9">
              <w:rPr>
                <w:rFonts w:ascii="Arial" w:hAnsi="Arial" w:cs="Arial"/>
                <w:sz w:val="20"/>
                <w:szCs w:val="20"/>
              </w:rPr>
              <w:t xml:space="preserve"> A i S1</w:t>
            </w:r>
            <w:r w:rsidR="00BE14BA" w:rsidRPr="00F31DE9">
              <w:rPr>
                <w:rFonts w:ascii="Arial" w:hAnsi="Arial" w:cs="Arial"/>
                <w:sz w:val="20"/>
                <w:szCs w:val="20"/>
              </w:rPr>
              <w:t>-</w:t>
            </w:r>
            <w:r w:rsidRPr="00F31DE9">
              <w:rPr>
                <w:rFonts w:ascii="Arial" w:hAnsi="Arial" w:cs="Arial"/>
                <w:sz w:val="20"/>
                <w:szCs w:val="20"/>
              </w:rPr>
              <w:t xml:space="preserve"> B</w:t>
            </w:r>
          </w:p>
        </w:tc>
      </w:tr>
      <w:tr w:rsidR="00C078A6" w:rsidRPr="00C078A6" w14:paraId="15BBB991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CF07" w14:textId="2FD3E966" w:rsidR="00542E99" w:rsidRPr="00C078A6" w:rsidRDefault="00542E9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 w:rsidRPr="00C078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POZICIJA: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1D20" w14:textId="51CC471A" w:rsidR="00542E99" w:rsidRPr="00F31DE9" w:rsidRDefault="00C078A6" w:rsidP="00F31D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DE9">
              <w:rPr>
                <w:rFonts w:ascii="Arial" w:hAnsi="Arial" w:cs="Arial"/>
                <w:sz w:val="20"/>
                <w:szCs w:val="20"/>
              </w:rPr>
              <w:t>25</w:t>
            </w:r>
            <w:r w:rsidR="00232A6D">
              <w:rPr>
                <w:rFonts w:ascii="Arial" w:hAnsi="Arial" w:cs="Arial"/>
                <w:sz w:val="20"/>
                <w:szCs w:val="20"/>
              </w:rPr>
              <w:t>46</w:t>
            </w:r>
            <w:r w:rsidRPr="00F31DE9">
              <w:rPr>
                <w:rFonts w:ascii="Arial" w:hAnsi="Arial" w:cs="Arial"/>
                <w:sz w:val="20"/>
                <w:szCs w:val="20"/>
              </w:rPr>
              <w:t>-02 – Subvencije poljoprivrednicima i obrtnicima</w:t>
            </w:r>
          </w:p>
          <w:p w14:paraId="59BF2A04" w14:textId="551295E4" w:rsidR="00C078A6" w:rsidRPr="00070041" w:rsidRDefault="00C078A6" w:rsidP="00F31D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0041">
              <w:rPr>
                <w:rFonts w:ascii="Arial" w:hAnsi="Arial" w:cs="Arial"/>
                <w:b/>
                <w:sz w:val="20"/>
                <w:szCs w:val="20"/>
              </w:rPr>
              <w:t>1.000,00 kn</w:t>
            </w:r>
          </w:p>
        </w:tc>
      </w:tr>
      <w:tr w:rsidR="00C078A6" w:rsidRPr="00C078A6" w14:paraId="635C1483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403D" w14:textId="77777777" w:rsidR="00542E99" w:rsidRPr="00C078A6" w:rsidRDefault="00542E9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</w:p>
          <w:p w14:paraId="43FAFAD8" w14:textId="41164797" w:rsidR="00542E99" w:rsidRPr="00C078A6" w:rsidRDefault="00542E9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 w:rsidRPr="00C078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CILJ PROGRAMA: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16F9" w14:textId="62D01A44" w:rsidR="00542E99" w:rsidRPr="00C078A6" w:rsidRDefault="00B92693" w:rsidP="00F31D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78A6">
              <w:rPr>
                <w:rFonts w:ascii="Arial" w:hAnsi="Arial" w:cs="Arial"/>
                <w:sz w:val="20"/>
                <w:szCs w:val="20"/>
              </w:rPr>
              <w:t xml:space="preserve">Sufinanciranje nabave i označavanja ribolovnih alata korisnicima povlastica ribolovnog područja za slatkovodno ribarstvo Sisačko-moslavačke županije ribolovnih zona S1 </w:t>
            </w:r>
            <w:r w:rsidR="00BE14BA" w:rsidRPr="00C078A6">
              <w:rPr>
                <w:rFonts w:ascii="Arial" w:hAnsi="Arial" w:cs="Arial"/>
                <w:sz w:val="20"/>
                <w:szCs w:val="20"/>
              </w:rPr>
              <w:t>- A</w:t>
            </w:r>
            <w:r w:rsidRPr="00C078A6">
              <w:rPr>
                <w:rFonts w:ascii="Arial" w:hAnsi="Arial" w:cs="Arial"/>
                <w:sz w:val="20"/>
                <w:szCs w:val="20"/>
              </w:rPr>
              <w:t xml:space="preserve"> i S1 </w:t>
            </w:r>
            <w:r w:rsidR="00BE14BA" w:rsidRPr="00C078A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078A6">
              <w:rPr>
                <w:rFonts w:ascii="Arial" w:hAnsi="Arial" w:cs="Arial"/>
                <w:sz w:val="20"/>
                <w:szCs w:val="20"/>
              </w:rPr>
              <w:t>B.</w:t>
            </w:r>
          </w:p>
        </w:tc>
      </w:tr>
      <w:tr w:rsidR="00C078A6" w:rsidRPr="00C078A6" w14:paraId="1E60C3D6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471F" w14:textId="77777777" w:rsidR="00542E99" w:rsidRPr="00C078A6" w:rsidRDefault="00542E9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</w:p>
          <w:p w14:paraId="60FB5EC4" w14:textId="41462CE1" w:rsidR="00542E99" w:rsidRPr="00C078A6" w:rsidRDefault="00542E9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 w:rsidRPr="00C078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OBRAZLOŽENJE PROGRAMA: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F7ED0" w14:textId="09153777" w:rsidR="00542E99" w:rsidRPr="00C078A6" w:rsidRDefault="00B92693" w:rsidP="00F31DE9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078A6">
              <w:rPr>
                <w:rFonts w:ascii="Arial" w:hAnsi="Arial" w:cs="Arial"/>
                <w:bCs/>
                <w:sz w:val="20"/>
                <w:szCs w:val="20"/>
              </w:rPr>
              <w:t>Sukladno Zakonu o slatkovodnom ribarstvu, Pravilniku o gospodarskom ribolovu u slatkovodnom ribarstvu i Pravilniku o granicama i površini ribolovnih područja i zona za slatkovodni ribolov te o dopuštenosti i ograničenjima ribolova</w:t>
            </w:r>
            <w:r w:rsidR="002F6658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C078A6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="002F6658">
              <w:rPr>
                <w:rFonts w:ascii="Arial" w:hAnsi="Arial" w:cs="Arial"/>
                <w:bCs/>
                <w:sz w:val="20"/>
                <w:szCs w:val="20"/>
              </w:rPr>
              <w:t>Ž</w:t>
            </w:r>
            <w:r w:rsidRPr="00C078A6">
              <w:rPr>
                <w:rFonts w:ascii="Arial" w:hAnsi="Arial" w:cs="Arial"/>
                <w:bCs/>
                <w:sz w:val="20"/>
                <w:szCs w:val="20"/>
              </w:rPr>
              <w:t>upanija od travnja tekuće godine raspolaže i gospodari s dvije ribolovne zone unutar SMŽ (ribolovna zona S1-A sedam povlastica i S1-B sedam povlastica). Slijedom navedenog</w:t>
            </w:r>
            <w:r w:rsidR="002F6658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C078A6">
              <w:rPr>
                <w:rFonts w:ascii="Arial" w:hAnsi="Arial" w:cs="Arial"/>
                <w:bCs/>
                <w:sz w:val="20"/>
                <w:szCs w:val="20"/>
              </w:rPr>
              <w:t xml:space="preserve"> potrebno je otvoriti gore navedenu Poziciju na koj</w:t>
            </w:r>
            <w:r w:rsidR="002F6658">
              <w:rPr>
                <w:rFonts w:ascii="Arial" w:hAnsi="Arial" w:cs="Arial"/>
                <w:bCs/>
                <w:sz w:val="20"/>
                <w:szCs w:val="20"/>
              </w:rPr>
              <w:t>oj</w:t>
            </w:r>
            <w:r w:rsidRPr="00C078A6">
              <w:rPr>
                <w:rFonts w:ascii="Arial" w:hAnsi="Arial" w:cs="Arial"/>
                <w:bCs/>
                <w:sz w:val="20"/>
                <w:szCs w:val="20"/>
              </w:rPr>
              <w:t xml:space="preserve"> bi bili prihodi od korištenja povlastica. Tako ostvareni prihodi koristili bi se za sufinanciranje nabave ribolovnog alata i njegova označavanja sukladno Pravilniku o gospodarskom ribolovu u slatkovodnom ribarstvu.</w:t>
            </w:r>
          </w:p>
        </w:tc>
      </w:tr>
      <w:tr w:rsidR="00F31DE9" w:rsidRPr="00C078A6" w14:paraId="45BF896A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DD7390B" w14:textId="61867219" w:rsidR="00F31DE9" w:rsidRPr="00C078A6" w:rsidRDefault="00F31DE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 w:rsidRPr="00C078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NAZIV PROGRAMA: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C12A82A" w14:textId="77777777" w:rsidR="00F31DE9" w:rsidRDefault="00F31DE9" w:rsidP="00F31D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1DE9">
              <w:rPr>
                <w:rFonts w:ascii="Arial" w:hAnsi="Arial" w:cs="Arial"/>
                <w:b/>
                <w:bCs/>
                <w:sz w:val="20"/>
                <w:szCs w:val="20"/>
              </w:rPr>
              <w:t>Zaštita okoliša i prirode</w:t>
            </w:r>
          </w:p>
          <w:p w14:paraId="74B458CC" w14:textId="41ED28BB" w:rsidR="008726C8" w:rsidRPr="00F31DE9" w:rsidRDefault="00D2724F" w:rsidP="00F31D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2.185.184,73 kn</w:t>
            </w:r>
          </w:p>
        </w:tc>
      </w:tr>
      <w:tr w:rsidR="00F31DE9" w:rsidRPr="00C078A6" w14:paraId="0D777590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186C" w14:textId="77777777" w:rsidR="00F31DE9" w:rsidRPr="00C078A6" w:rsidRDefault="00F31DE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</w:p>
          <w:p w14:paraId="5D9C169E" w14:textId="4CB9E44A" w:rsidR="00F31DE9" w:rsidRPr="00C078A6" w:rsidRDefault="00F31DE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 w:rsidRPr="00C078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AKTIVNOST</w:t>
            </w:r>
            <w:r w:rsidRPr="00C078A6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 :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2B9C" w14:textId="77777777" w:rsidR="00F31DE9" w:rsidRDefault="00F31DE9" w:rsidP="00F31D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Izrada dokumenata zaštite okoliša i prirode</w:t>
            </w:r>
          </w:p>
          <w:p w14:paraId="481CA1C9" w14:textId="3C9A7C9E" w:rsidR="008726C8" w:rsidRPr="00C078A6" w:rsidRDefault="008726C8" w:rsidP="00F31D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605.000,00 kn</w:t>
            </w:r>
          </w:p>
        </w:tc>
      </w:tr>
      <w:tr w:rsidR="00F31DE9" w:rsidRPr="00C078A6" w14:paraId="6570960C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2816" w14:textId="1277CADE" w:rsidR="00F31DE9" w:rsidRPr="00C078A6" w:rsidRDefault="00F31DE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 w:rsidRPr="00C078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POZICIJA: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3151" w14:textId="5B7EFCDF" w:rsidR="00F31DE9" w:rsidRDefault="00F31DE9" w:rsidP="00F31D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2638-</w:t>
            </w:r>
            <w:r w:rsidR="005F5E15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– </w:t>
            </w:r>
            <w:r w:rsidR="00070041">
              <w:rPr>
                <w:rFonts w:ascii="Arial" w:hAnsi="Arial" w:cs="Arial"/>
                <w:bCs/>
                <w:sz w:val="20"/>
                <w:szCs w:val="20"/>
              </w:rPr>
              <w:t>Stručne podloge i izrada dokumenata zaštite prirode</w:t>
            </w:r>
          </w:p>
          <w:p w14:paraId="5E43ADD4" w14:textId="65384495" w:rsidR="00F31DE9" w:rsidRPr="00070041" w:rsidRDefault="00F31DE9" w:rsidP="00F31D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0041">
              <w:rPr>
                <w:rFonts w:ascii="Arial" w:hAnsi="Arial" w:cs="Arial"/>
                <w:b/>
                <w:bCs/>
                <w:sz w:val="20"/>
                <w:szCs w:val="20"/>
              </w:rPr>
              <w:t>200.000,00 kn</w:t>
            </w:r>
          </w:p>
        </w:tc>
      </w:tr>
      <w:tr w:rsidR="00F31DE9" w:rsidRPr="00C078A6" w14:paraId="69551232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7447" w14:textId="77777777" w:rsidR="00F31DE9" w:rsidRPr="00C078A6" w:rsidRDefault="00F31DE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</w:p>
          <w:p w14:paraId="6DA5EC97" w14:textId="77AF8229" w:rsidR="00F31DE9" w:rsidRPr="00C078A6" w:rsidRDefault="00F31DE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 w:rsidRPr="00C078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CILJ PROGRAMA: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4F33" w14:textId="3FFF9E9D" w:rsidR="00F31DE9" w:rsidRPr="00C078A6" w:rsidRDefault="00F269D1" w:rsidP="00F269D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Donošenje  mjera</w:t>
            </w:r>
            <w:r w:rsidRPr="00F269D1">
              <w:rPr>
                <w:rFonts w:ascii="Arial" w:hAnsi="Arial" w:cs="Arial"/>
                <w:bCs/>
                <w:sz w:val="20"/>
                <w:szCs w:val="20"/>
              </w:rPr>
              <w:t xml:space="preserve"> u svrhu zaštite okoliša i ljudskoga zdravlja sprječavanjem </w:t>
            </w:r>
            <w:r w:rsidR="00CD4EA8">
              <w:rPr>
                <w:rFonts w:ascii="Arial" w:hAnsi="Arial" w:cs="Arial"/>
                <w:bCs/>
                <w:sz w:val="20"/>
                <w:szCs w:val="20"/>
              </w:rPr>
              <w:t>i/</w:t>
            </w:r>
            <w:r w:rsidRPr="00F269D1">
              <w:rPr>
                <w:rFonts w:ascii="Arial" w:hAnsi="Arial" w:cs="Arial"/>
                <w:bCs/>
                <w:sz w:val="20"/>
                <w:szCs w:val="20"/>
              </w:rPr>
              <w:t>ili smanjenjem nastanka otpada, smanjenjem negativnih učinaka nastanka otpada te gospodarenja otpadom</w:t>
            </w:r>
            <w:r w:rsidR="00CD4EA8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F269D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F31DE9" w:rsidRPr="00C078A6" w14:paraId="4A3A1E58" w14:textId="3FADDEEF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EEC3" w14:textId="77777777" w:rsidR="00F31DE9" w:rsidRPr="00C078A6" w:rsidRDefault="00F31DE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</w:p>
          <w:p w14:paraId="4F675524" w14:textId="62966BAE" w:rsidR="00F31DE9" w:rsidRPr="00C078A6" w:rsidRDefault="00F31DE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 w:rsidRPr="00C078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OBRAZLOŽENJE PROGRAMA:</w:t>
            </w:r>
          </w:p>
        </w:tc>
        <w:tc>
          <w:tcPr>
            <w:tcW w:w="7212" w:type="dxa"/>
            <w:shd w:val="clear" w:color="auto" w:fill="auto"/>
          </w:tcPr>
          <w:p w14:paraId="3FB54AF8" w14:textId="5C6DB537" w:rsidR="00F269D1" w:rsidRPr="00F269D1" w:rsidRDefault="00F269D1" w:rsidP="00F269D1">
            <w:pPr>
              <w:widowControl/>
              <w:suppressAutoHyphens w:val="0"/>
              <w:spacing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 w:rsidRPr="00F269D1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Zakonom o gospodarenju otpadom („Narodne novine“, broj 84/2021) propisano je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kako </w:t>
            </w:r>
            <w:r w:rsidRPr="00F269D1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su jedinice područne (regionalne) samouprave odnosno Grada Zagreba dužne donijeti plan gospodarenja otpadom do 1. siječnja 2024. godine (čl. 111. i 173.) i o tome obavijestiti Ministarstvo.</w:t>
            </w:r>
          </w:p>
          <w:p w14:paraId="7C2B6EF7" w14:textId="77CDE7F4" w:rsidR="00F269D1" w:rsidRDefault="00F269D1" w:rsidP="00F269D1">
            <w:pPr>
              <w:widowControl/>
              <w:suppressAutoHyphens w:val="0"/>
              <w:spacing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 w:rsidRPr="00F269D1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Sadržaj plana propisan je Dodatkom VI. navedenog Zakona. Plan se objavljuje u službenom glasilu jedinice područne (regionalne) samouprave </w:t>
            </w:r>
          </w:p>
          <w:p w14:paraId="2E17AA28" w14:textId="77777777" w:rsidR="00F269D1" w:rsidRDefault="00F269D1" w:rsidP="00F269D1">
            <w:pPr>
              <w:widowControl/>
              <w:suppressAutoHyphens w:val="0"/>
              <w:spacing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</w:p>
          <w:p w14:paraId="35007455" w14:textId="540B4062" w:rsidR="00F269D1" w:rsidRPr="00F269D1" w:rsidRDefault="00F269D1" w:rsidP="00F269D1">
            <w:pPr>
              <w:widowControl/>
              <w:suppressAutoHyphens w:val="0"/>
              <w:spacing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S</w:t>
            </w:r>
            <w:r w:rsidRPr="00F269D1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ADRŽAJ PLANA GOSPODARENJA OTPADOM JEDINICE PODRUČNE (REGIONALNE) SAMOUPRAVE I GRADA ZAGREBA</w:t>
            </w:r>
            <w:r w:rsidR="00C5063A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 iz članka 105. ovoga Zakona sadrži:</w:t>
            </w:r>
          </w:p>
          <w:p w14:paraId="7A62694E" w14:textId="5CE7938D" w:rsidR="00F269D1" w:rsidRPr="00F269D1" w:rsidRDefault="00F269D1" w:rsidP="00F269D1">
            <w:pPr>
              <w:widowControl/>
              <w:suppressAutoHyphens w:val="0"/>
              <w:spacing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</w:p>
          <w:p w14:paraId="2C6ED145" w14:textId="77777777" w:rsidR="00F269D1" w:rsidRPr="00F269D1" w:rsidRDefault="00F269D1" w:rsidP="00F269D1">
            <w:pPr>
              <w:widowControl/>
              <w:suppressAutoHyphens w:val="0"/>
              <w:spacing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 w:rsidRPr="00F269D1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1. analizu, te ocjenu stanja i potreba u gospodarenju otpadom na području jedinice područne (regionalne) samouprave, odnosno Grada Zagreba, uključujući ostvarivanje ciljeva</w:t>
            </w:r>
          </w:p>
          <w:p w14:paraId="02CF4434" w14:textId="77777777" w:rsidR="00F269D1" w:rsidRPr="00F269D1" w:rsidRDefault="00F269D1" w:rsidP="00F269D1">
            <w:pPr>
              <w:widowControl/>
              <w:suppressAutoHyphens w:val="0"/>
              <w:spacing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 w:rsidRPr="00F269D1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2. podatke o postojećim i planiranim građevinama i uređajima za gospodarenje otpadom te statusu sanacije odlagališta i lokacija onečišćenih otpadom</w:t>
            </w:r>
          </w:p>
          <w:p w14:paraId="0111DDD7" w14:textId="4EB1CA44" w:rsidR="00F269D1" w:rsidRPr="00F269D1" w:rsidRDefault="00F269D1" w:rsidP="00F269D1">
            <w:pPr>
              <w:widowControl/>
              <w:suppressAutoHyphens w:val="0"/>
              <w:spacing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 w:rsidRPr="00F269D1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lastRenderedPageBreak/>
              <w:t>3. podatke o lokacijama odbačenog otpada i njihovom uklanjanju</w:t>
            </w:r>
          </w:p>
          <w:p w14:paraId="2578382E" w14:textId="77777777" w:rsidR="00F269D1" w:rsidRPr="00F269D1" w:rsidRDefault="00F269D1" w:rsidP="00F269D1">
            <w:pPr>
              <w:widowControl/>
              <w:suppressAutoHyphens w:val="0"/>
              <w:spacing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 w:rsidRPr="00F269D1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4. podatke o vrstama i količinama stvorenog otpada, odvojeno sakupljenog otpada, odlaganju komunalnog i biorazgradivog otpada te ostvarivanju ciljeva</w:t>
            </w:r>
          </w:p>
          <w:p w14:paraId="5166BD1D" w14:textId="77777777" w:rsidR="00F269D1" w:rsidRPr="00F269D1" w:rsidRDefault="00F269D1" w:rsidP="00F269D1">
            <w:pPr>
              <w:widowControl/>
              <w:suppressAutoHyphens w:val="0"/>
              <w:spacing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 w:rsidRPr="00F269D1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5. mjere potrebne za ostvarenje ciljeva smanjivanja ili sprječavanja nastanka otpada, uključujući </w:t>
            </w:r>
            <w:proofErr w:type="spellStart"/>
            <w:r w:rsidRPr="00F269D1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izobrazno</w:t>
            </w:r>
            <w:proofErr w:type="spellEnd"/>
            <w:r w:rsidRPr="00F269D1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-informativne aktivnosti i akcije prikupljanja otpada</w:t>
            </w:r>
          </w:p>
          <w:p w14:paraId="47200F3C" w14:textId="77777777" w:rsidR="00F269D1" w:rsidRPr="00F269D1" w:rsidRDefault="00F269D1" w:rsidP="00F269D1">
            <w:pPr>
              <w:widowControl/>
              <w:suppressAutoHyphens w:val="0"/>
              <w:spacing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 w:rsidRPr="00F269D1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6. popis projekata važnih za provedbu Plana</w:t>
            </w:r>
          </w:p>
          <w:p w14:paraId="62E43067" w14:textId="77777777" w:rsidR="00F269D1" w:rsidRPr="00F269D1" w:rsidRDefault="00F269D1" w:rsidP="00F269D1">
            <w:pPr>
              <w:widowControl/>
              <w:suppressAutoHyphens w:val="0"/>
              <w:spacing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 w:rsidRPr="00F269D1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7. organizacijske aspekte, izvore i visinu financijskih sredstava za provedbu mjera gospodarenja otpadom</w:t>
            </w:r>
          </w:p>
          <w:p w14:paraId="18DA7074" w14:textId="77777777" w:rsidR="00F269D1" w:rsidRPr="00F269D1" w:rsidRDefault="00F269D1" w:rsidP="00F269D1">
            <w:pPr>
              <w:widowControl/>
              <w:suppressAutoHyphens w:val="0"/>
              <w:spacing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 w:rsidRPr="00F269D1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8. rokove i nositelje izvršenja Plana</w:t>
            </w:r>
          </w:p>
          <w:p w14:paraId="481C6522" w14:textId="15A9644E" w:rsidR="00F269D1" w:rsidRPr="00F269D1" w:rsidRDefault="00F269D1" w:rsidP="00F269D1">
            <w:pPr>
              <w:widowControl/>
              <w:suppressAutoHyphens w:val="0"/>
              <w:spacing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 w:rsidRPr="00F269D1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9.mjere prikupljanja miješanog komunalnog otpada i biorazgradivog komunalnog otpada i</w:t>
            </w:r>
          </w:p>
          <w:p w14:paraId="294D02B3" w14:textId="0C3E8B02" w:rsidR="00F269D1" w:rsidRPr="00F269D1" w:rsidRDefault="00F269D1" w:rsidP="00F269D1">
            <w:pPr>
              <w:widowControl/>
              <w:suppressAutoHyphens w:val="0"/>
              <w:spacing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 w:rsidRPr="00F269D1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10. mjere odvojenog prikupljanja opasnog komunalnog otpada, otpadnog papira i kartona, otpadnog metala, stakla i plastike te glomaznog otpada.</w:t>
            </w:r>
          </w:p>
          <w:p w14:paraId="0A6D685E" w14:textId="77777777" w:rsidR="00F269D1" w:rsidRPr="00F269D1" w:rsidRDefault="00F269D1" w:rsidP="00F269D1">
            <w:pPr>
              <w:widowControl/>
              <w:suppressAutoHyphens w:val="0"/>
              <w:spacing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 w:rsidRPr="00F269D1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Do donošenja navedenog plana, na snazi ostaju Planovi gospodarenja otpadom jedinica lokalne samouprave i Grada Zagreba doneseni na temelju Zakona o održivom gospodarenju otpadom („Narodne novine“, br. 94/13, 73/17, 14/19, 98/19).</w:t>
            </w:r>
          </w:p>
          <w:p w14:paraId="0B0E56E3" w14:textId="4D6A1659" w:rsidR="00F269D1" w:rsidRPr="00F269D1" w:rsidRDefault="00F269D1" w:rsidP="00F269D1">
            <w:pPr>
              <w:widowControl/>
              <w:suppressAutoHyphens w:val="0"/>
              <w:spacing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 w:rsidRPr="00F269D1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Izvršno tijelo jedinice lokalne samouprave dužno je za 2021., 2022., i 2023. godinu dostaviti godišnje izvješće o provedbi Plana gospodarenja otpadom Republike Hrvatske za prethodnu kalendarsku godinu jedinici područne (regionalne) samouprave i objaviti ga u svom službenom glas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ilu do 31. ožujka tekuće godine, a ono je </w:t>
            </w:r>
            <w:r w:rsidRPr="00F269D1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dužno je dostaviti godišnje izvješće o provedbi Plana gospodarenja otpadom Republike Hrvatske i objedinjena izvješća jedinica lokalne samouprave Ministarstvu te ih objaviti u svom službenom glasilu i na svojim mrežnim stranicama do 31. svibnja tekuće godine za prethodnu kalendarsku godinu.</w:t>
            </w:r>
          </w:p>
          <w:p w14:paraId="0C4E3FCF" w14:textId="5B600A33" w:rsidR="00F31DE9" w:rsidRPr="00C078A6" w:rsidRDefault="00F269D1" w:rsidP="00F269D1">
            <w:pPr>
              <w:widowControl/>
              <w:suppressAutoHyphens w:val="0"/>
              <w:spacing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 w:rsidRPr="00F269D1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Ministarstvo objavljuje objedinjena izvješća na svojim mrežnim stranicama, a dostupni su u Bazi dokumenata održivog razvitka i zaštite okoliša te u objavljenim pregledima podataka i izvješćima.      </w:t>
            </w:r>
          </w:p>
        </w:tc>
      </w:tr>
      <w:tr w:rsidR="00F31DE9" w:rsidRPr="00C078A6" w14:paraId="35A3BADB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5F36" w14:textId="77777777" w:rsidR="00F31DE9" w:rsidRPr="00C078A6" w:rsidRDefault="00F31DE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</w:p>
          <w:p w14:paraId="0187CB2C" w14:textId="49555416" w:rsidR="00F31DE9" w:rsidRPr="00C078A6" w:rsidRDefault="00F31DE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 w:rsidRPr="00C078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AKTIVNOST</w:t>
            </w:r>
            <w:r w:rsidRPr="00C078A6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 :</w:t>
            </w:r>
          </w:p>
        </w:tc>
        <w:tc>
          <w:tcPr>
            <w:tcW w:w="7212" w:type="dxa"/>
            <w:shd w:val="clear" w:color="auto" w:fill="auto"/>
          </w:tcPr>
          <w:p w14:paraId="498DA702" w14:textId="77777777" w:rsidR="00F31DE9" w:rsidRDefault="008726C8" w:rsidP="008726C8">
            <w:pPr>
              <w:widowControl/>
              <w:suppressAutoHyphens w:val="0"/>
              <w:spacing w:line="259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Oprema za civilnu zaštitu</w:t>
            </w:r>
          </w:p>
          <w:p w14:paraId="5189FC5F" w14:textId="1745DAF1" w:rsidR="008726C8" w:rsidRPr="00C078A6" w:rsidRDefault="008726C8" w:rsidP="008726C8">
            <w:pPr>
              <w:widowControl/>
              <w:suppressAutoHyphens w:val="0"/>
              <w:spacing w:line="259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120.000,00 kn</w:t>
            </w:r>
          </w:p>
        </w:tc>
      </w:tr>
      <w:tr w:rsidR="00F31DE9" w:rsidRPr="00C078A6" w14:paraId="54FF9F30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72EF" w14:textId="6987B60B" w:rsidR="00F31DE9" w:rsidRPr="00C078A6" w:rsidRDefault="00F31DE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 w:rsidRPr="00C078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POZICIJA:</w:t>
            </w:r>
          </w:p>
        </w:tc>
        <w:tc>
          <w:tcPr>
            <w:tcW w:w="7212" w:type="dxa"/>
            <w:shd w:val="clear" w:color="auto" w:fill="auto"/>
          </w:tcPr>
          <w:p w14:paraId="3A48DB76" w14:textId="77777777" w:rsidR="00F31DE9" w:rsidRDefault="008726C8" w:rsidP="008726C8">
            <w:pPr>
              <w:widowControl/>
              <w:suppressAutoHyphens w:val="0"/>
              <w:spacing w:line="259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2660-4 – Usluge tekućeg i investicijskog održavanja opreme CZ</w:t>
            </w:r>
          </w:p>
          <w:p w14:paraId="198D18DD" w14:textId="78FBE898" w:rsidR="008726C8" w:rsidRPr="00C078A6" w:rsidRDefault="008726C8" w:rsidP="008726C8">
            <w:pPr>
              <w:widowControl/>
              <w:suppressAutoHyphens w:val="0"/>
              <w:spacing w:line="259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20.000,00 kn</w:t>
            </w:r>
          </w:p>
        </w:tc>
      </w:tr>
      <w:tr w:rsidR="00F31DE9" w:rsidRPr="00C078A6" w14:paraId="2D28DBAB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ACF9" w14:textId="77777777" w:rsidR="00F31DE9" w:rsidRPr="00C078A6" w:rsidRDefault="00F31DE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</w:p>
          <w:p w14:paraId="01C5DE7B" w14:textId="6F7B924A" w:rsidR="00F31DE9" w:rsidRPr="00C078A6" w:rsidRDefault="00F31DE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 w:rsidRPr="00C078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CILJ PROGRAMA:</w:t>
            </w:r>
          </w:p>
        </w:tc>
        <w:tc>
          <w:tcPr>
            <w:tcW w:w="7212" w:type="dxa"/>
            <w:shd w:val="clear" w:color="auto" w:fill="auto"/>
          </w:tcPr>
          <w:p w14:paraId="1EF4B74E" w14:textId="281DBE47" w:rsidR="00F31DE9" w:rsidRPr="00C078A6" w:rsidRDefault="00CD4EA8" w:rsidP="00D2629A">
            <w:pPr>
              <w:widowControl/>
              <w:suppressAutoHyphens w:val="0"/>
              <w:spacing w:after="160" w:line="259" w:lineRule="auto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Redovno održavanje plovila – gumeni čamac tip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Valiant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 DR</w:t>
            </w:r>
            <w:r w:rsidR="00410995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-490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i pogonskog motora </w:t>
            </w:r>
            <w:r w:rsidR="00410995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tip Mercury broj motora ONO 74086 22,4 kW, registarska oznaka RH 26-SK te prateće opreme u vlasništvu Sisa</w:t>
            </w:r>
            <w:r w:rsidR="00D2629A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čko-moslavačke županije </w:t>
            </w:r>
            <w:r w:rsidR="00D2629A" w:rsidRPr="00D2629A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s ciljem djelovanja u svi</w:t>
            </w:r>
            <w:r w:rsidR="00D2629A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m akcijama zaštite i spašavanja ljudi i imovine.</w:t>
            </w:r>
          </w:p>
        </w:tc>
      </w:tr>
      <w:tr w:rsidR="00F31DE9" w:rsidRPr="00C078A6" w14:paraId="034E47C8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05CF" w14:textId="77777777" w:rsidR="00F31DE9" w:rsidRPr="00C078A6" w:rsidRDefault="00F31DE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</w:p>
          <w:p w14:paraId="3F67E995" w14:textId="32F3C9D1" w:rsidR="00F31DE9" w:rsidRPr="00C078A6" w:rsidRDefault="00F31DE9" w:rsidP="00F31DE9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 w:rsidRPr="00C078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OBRAZLOŽENJE PROGRAMA:</w:t>
            </w:r>
          </w:p>
        </w:tc>
        <w:tc>
          <w:tcPr>
            <w:tcW w:w="7212" w:type="dxa"/>
            <w:shd w:val="clear" w:color="auto" w:fill="auto"/>
          </w:tcPr>
          <w:p w14:paraId="1078BF44" w14:textId="7146DCD9" w:rsidR="00F31DE9" w:rsidRPr="00C078A6" w:rsidRDefault="00D2629A" w:rsidP="00D2629A">
            <w:pPr>
              <w:widowControl/>
              <w:suppressAutoHyphens w:val="0"/>
              <w:spacing w:after="1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Plovilo služi za h</w:t>
            </w:r>
            <w:r w:rsidR="00410995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itne intervencije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 kao npr.</w:t>
            </w:r>
            <w:r w:rsidRPr="00D2629A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 u incidentnim situacijama spašavanj</w:t>
            </w:r>
            <w:r w:rsidR="007436DB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a</w:t>
            </w:r>
            <w:r w:rsidRPr="00D2629A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 osoba iz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rijeka</w:t>
            </w:r>
            <w:r w:rsidRPr="00D2629A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, pružanj</w:t>
            </w:r>
            <w:r w:rsidR="007436DB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a</w:t>
            </w:r>
            <w:r w:rsidRPr="00D2629A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 pomoći osobama u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 rijekama</w:t>
            </w:r>
            <w:r w:rsidRPr="00D2629A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, gašenj</w:t>
            </w:r>
            <w:r w:rsidR="007436DB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a</w:t>
            </w:r>
            <w:r w:rsidRPr="00D2629A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 požara na plovilima i sl</w:t>
            </w:r>
            <w:r w:rsidR="007436DB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., 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te za redovne akcije i vježbe.</w:t>
            </w:r>
          </w:p>
        </w:tc>
      </w:tr>
      <w:tr w:rsidR="008726C8" w:rsidRPr="00C078A6" w14:paraId="78479EFD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166A" w14:textId="0CC3840A" w:rsidR="008726C8" w:rsidRPr="00C078A6" w:rsidRDefault="008726C8" w:rsidP="008726C8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 w:rsidRPr="00C078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POZICIJA:</w:t>
            </w:r>
          </w:p>
        </w:tc>
        <w:tc>
          <w:tcPr>
            <w:tcW w:w="7212" w:type="dxa"/>
            <w:shd w:val="clear" w:color="auto" w:fill="auto"/>
          </w:tcPr>
          <w:p w14:paraId="75DEEA69" w14:textId="77777777" w:rsidR="008726C8" w:rsidRDefault="008726C8" w:rsidP="008726C8">
            <w:pPr>
              <w:widowControl/>
              <w:suppressAutoHyphens w:val="0"/>
              <w:spacing w:line="259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2660-5 – Izrada dokumenata CZ</w:t>
            </w:r>
          </w:p>
          <w:p w14:paraId="0654A4EC" w14:textId="3CAC206B" w:rsidR="008726C8" w:rsidRPr="00C078A6" w:rsidRDefault="008726C8" w:rsidP="008726C8">
            <w:pPr>
              <w:widowControl/>
              <w:suppressAutoHyphens w:val="0"/>
              <w:spacing w:line="259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50.000,00 kn</w:t>
            </w:r>
          </w:p>
        </w:tc>
      </w:tr>
      <w:tr w:rsidR="008726C8" w:rsidRPr="00C078A6" w14:paraId="4E2298DB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186C" w14:textId="77777777" w:rsidR="008726C8" w:rsidRPr="00C078A6" w:rsidRDefault="008726C8" w:rsidP="008726C8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</w:p>
          <w:p w14:paraId="4A6C84C5" w14:textId="628EC831" w:rsidR="008726C8" w:rsidRPr="00C078A6" w:rsidRDefault="008726C8" w:rsidP="008726C8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 w:rsidRPr="00C078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CILJ PROGRAMA:</w:t>
            </w:r>
          </w:p>
        </w:tc>
        <w:tc>
          <w:tcPr>
            <w:tcW w:w="7212" w:type="dxa"/>
            <w:shd w:val="clear" w:color="auto" w:fill="auto"/>
          </w:tcPr>
          <w:p w14:paraId="402E5FEB" w14:textId="47372B7F" w:rsidR="008726C8" w:rsidRPr="00C078A6" w:rsidRDefault="007B572B" w:rsidP="007B572B">
            <w:pPr>
              <w:widowControl/>
              <w:suppressAutoHyphens w:val="0"/>
              <w:spacing w:after="1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Izrada</w:t>
            </w:r>
            <w:r>
              <w:t xml:space="preserve"> </w:t>
            </w:r>
            <w:r w:rsidRPr="007B572B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Procjene rizika od velikih nesreća za područje Sisačko-moslavačke županije</w:t>
            </w:r>
            <w:r>
              <w:t>.</w:t>
            </w:r>
          </w:p>
        </w:tc>
      </w:tr>
      <w:tr w:rsidR="008726C8" w:rsidRPr="00C078A6" w14:paraId="13AF0733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BD3A" w14:textId="6476F1C3" w:rsidR="008726C8" w:rsidRPr="00C078A6" w:rsidRDefault="008726C8" w:rsidP="008726C8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 w:rsidRPr="00C078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OBRAZLOŽENJE PROGRAMA:</w:t>
            </w:r>
          </w:p>
        </w:tc>
        <w:tc>
          <w:tcPr>
            <w:tcW w:w="7212" w:type="dxa"/>
            <w:shd w:val="clear" w:color="auto" w:fill="auto"/>
          </w:tcPr>
          <w:p w14:paraId="2EA0BE13" w14:textId="35389A7E" w:rsidR="0076298F" w:rsidRDefault="007B572B" w:rsidP="0076298F">
            <w:pPr>
              <w:widowControl/>
              <w:suppressAutoHyphens w:val="0"/>
              <w:spacing w:after="1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Na temelju članka 17. stavka 1. i 3. Zakona o sustavu civilne zaštite („Narodne novine“ broj 82/15 i 118/18)</w:t>
            </w:r>
            <w:r w:rsidR="0076298F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, članka 7. stavka 2. i 3. Pravi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lnika o smjernicama</w:t>
            </w:r>
            <w:r w:rsidR="0076298F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 za  izradu procjene rizika od katastrofa i velikih nesreća za područje Republike Hrvatske i jedinica lokalne i područne (regionalne) samouprave („Narodne novine“ broj 65/19) donose se Smjernice za izradu procjene rizika od velikih nesreća.</w:t>
            </w:r>
          </w:p>
          <w:p w14:paraId="448DFFD6" w14:textId="77777777" w:rsidR="007436DB" w:rsidRDefault="007B572B" w:rsidP="000C591B">
            <w:pPr>
              <w:widowControl/>
              <w:suppressAutoHyphens w:val="0"/>
              <w:spacing w:after="1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 w:rsidRPr="007B572B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lastRenderedPageBreak/>
              <w:t>Odlu</w:t>
            </w:r>
            <w:r w:rsidR="0076298F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ku </w:t>
            </w:r>
            <w:r w:rsidR="0076298F">
              <w:t xml:space="preserve"> o </w:t>
            </w:r>
            <w:r w:rsidR="0076298F" w:rsidRPr="0076298F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postupku izrade Procjene rizika od velikih nesreća za područje Sisačko-moslavačke županije i osnivanja Radne skupine </w:t>
            </w:r>
            <w:r w:rsidR="0076298F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donosi</w:t>
            </w:r>
            <w:r w:rsidRPr="007B572B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 župan Sisačko-moslavačke županije</w:t>
            </w:r>
            <w:r w:rsidR="0076298F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.</w:t>
            </w:r>
            <w:r w:rsidR="007436DB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 </w:t>
            </w:r>
          </w:p>
          <w:p w14:paraId="20E531AA" w14:textId="356D1638" w:rsidR="007436DB" w:rsidRPr="00C078A6" w:rsidRDefault="0076298F" w:rsidP="000C591B">
            <w:pPr>
              <w:widowControl/>
              <w:suppressAutoHyphens w:val="0"/>
              <w:spacing w:after="1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Okvir/sadržaj</w:t>
            </w:r>
            <w:r>
              <w:t xml:space="preserve"> </w:t>
            </w:r>
            <w:r w:rsidRPr="0076298F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Procjene rizika od velikih nesreća za podru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čje Sisačko-moslavačke županije: uvod, osnov</w:t>
            </w:r>
            <w:r w:rsidR="007436DB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n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e karakteristike podru</w:t>
            </w:r>
            <w:r w:rsidR="000C591B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čja Sisačko-moslavačke županije (geografski-društveno politički-ekonomski-prirodni-kulturni-povijesni pokazatelji),</w:t>
            </w:r>
            <w:r w:rsidR="007436DB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 </w:t>
            </w:r>
            <w:r w:rsidR="000C591B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identifikacija prijetnji, registar svih poznatih rizika, kriterij za procjenu utjecaja prijetnji na kategorije društvenih vrijednost</w:t>
            </w:r>
            <w:r w:rsidR="007436DB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i</w:t>
            </w:r>
            <w:r w:rsidR="000C591B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,</w:t>
            </w:r>
            <w:r w:rsidR="007436DB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 </w:t>
            </w:r>
            <w:r w:rsidR="000C591B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opis scenarija</w:t>
            </w:r>
            <w:r w:rsidR="007436DB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 </w:t>
            </w:r>
            <w:r w:rsidR="000C591B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(poplave-potresi-epidemije-pandemije-industrijske</w:t>
            </w:r>
            <w:r w:rsidR="007436DB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 </w:t>
            </w:r>
            <w:r w:rsidR="000C591B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nesreće-ekstremne temperature-požari), matrice rizika s uspoređenim rizicima, analiza sustava CZ,</w:t>
            </w:r>
            <w:r w:rsidR="007436DB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 </w:t>
            </w:r>
            <w:r w:rsidR="000C591B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vrednovanje rizika, popis sudionika u izradi procjene rizika, zaključak</w:t>
            </w:r>
            <w:r w:rsidR="007436DB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.</w:t>
            </w:r>
          </w:p>
        </w:tc>
      </w:tr>
      <w:tr w:rsidR="008726C8" w:rsidRPr="00C078A6" w14:paraId="56D87059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7FEA" w14:textId="77777777" w:rsidR="008726C8" w:rsidRPr="00C078A6" w:rsidRDefault="008726C8" w:rsidP="008726C8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</w:p>
          <w:p w14:paraId="6E705182" w14:textId="2ED0E935" w:rsidR="008726C8" w:rsidRPr="00C078A6" w:rsidRDefault="008726C8" w:rsidP="008726C8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 w:rsidRPr="00C078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AKTIVNOST</w:t>
            </w:r>
            <w:r w:rsidRPr="00C078A6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 :</w:t>
            </w:r>
          </w:p>
        </w:tc>
        <w:tc>
          <w:tcPr>
            <w:tcW w:w="7212" w:type="dxa"/>
            <w:shd w:val="clear" w:color="auto" w:fill="auto"/>
          </w:tcPr>
          <w:p w14:paraId="0D662D48" w14:textId="77777777" w:rsidR="008726C8" w:rsidRDefault="008726C8" w:rsidP="008726C8">
            <w:pPr>
              <w:widowControl/>
              <w:suppressAutoHyphens w:val="0"/>
              <w:spacing w:line="259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Zaštita na radu</w:t>
            </w:r>
          </w:p>
          <w:p w14:paraId="65F3D8FE" w14:textId="0C913E99" w:rsidR="008726C8" w:rsidRPr="00C078A6" w:rsidRDefault="008726C8" w:rsidP="008726C8">
            <w:pPr>
              <w:widowControl/>
              <w:suppressAutoHyphens w:val="0"/>
              <w:spacing w:line="259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30.000,00 kn</w:t>
            </w:r>
          </w:p>
        </w:tc>
      </w:tr>
      <w:tr w:rsidR="008726C8" w:rsidRPr="00C078A6" w14:paraId="7457BE13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54B1" w14:textId="1F8F6EBF" w:rsidR="008726C8" w:rsidRPr="00C078A6" w:rsidRDefault="008726C8" w:rsidP="008726C8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 w:rsidRPr="00C078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POZICIJA:</w:t>
            </w:r>
          </w:p>
        </w:tc>
        <w:tc>
          <w:tcPr>
            <w:tcW w:w="7212" w:type="dxa"/>
            <w:shd w:val="clear" w:color="auto" w:fill="auto"/>
          </w:tcPr>
          <w:p w14:paraId="7D51E2D8" w14:textId="77777777" w:rsidR="008726C8" w:rsidRDefault="008726C8" w:rsidP="008726C8">
            <w:pPr>
              <w:widowControl/>
              <w:suppressAutoHyphens w:val="0"/>
              <w:spacing w:line="259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2662-1 – Zaštita na radu</w:t>
            </w:r>
          </w:p>
          <w:p w14:paraId="0BF5EB7C" w14:textId="1BC2D2E4" w:rsidR="008726C8" w:rsidRPr="00C078A6" w:rsidRDefault="008726C8" w:rsidP="008726C8">
            <w:pPr>
              <w:widowControl/>
              <w:suppressAutoHyphens w:val="0"/>
              <w:spacing w:line="259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30.000,00 kn</w:t>
            </w:r>
          </w:p>
        </w:tc>
      </w:tr>
      <w:tr w:rsidR="008726C8" w:rsidRPr="00C078A6" w14:paraId="78256F19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5CB8" w14:textId="77777777" w:rsidR="008726C8" w:rsidRPr="00C078A6" w:rsidRDefault="008726C8" w:rsidP="008726C8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</w:p>
          <w:p w14:paraId="52F35E1F" w14:textId="5C29D5AF" w:rsidR="008726C8" w:rsidRPr="00C078A6" w:rsidRDefault="008726C8" w:rsidP="008726C8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 w:rsidRPr="00C078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CILJ PROGRAMA:</w:t>
            </w:r>
          </w:p>
        </w:tc>
        <w:tc>
          <w:tcPr>
            <w:tcW w:w="7212" w:type="dxa"/>
            <w:shd w:val="clear" w:color="auto" w:fill="auto"/>
          </w:tcPr>
          <w:p w14:paraId="5D6EA10E" w14:textId="1B8FDA7E" w:rsidR="008726C8" w:rsidRPr="0029343C" w:rsidRDefault="00410995" w:rsidP="0029343C">
            <w:pPr>
              <w:widowControl/>
              <w:suppressAutoHyphens w:val="0"/>
              <w:spacing w:after="1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 w:rsidRPr="0029343C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Redovno održavanje vatr</w:t>
            </w:r>
            <w:r w:rsidR="00EC5E6F" w:rsidRPr="0029343C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ogasnih aparata i ostale opreme</w:t>
            </w:r>
            <w:r w:rsidRPr="0029343C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 </w:t>
            </w:r>
            <w:r w:rsidR="00EC5E6F" w:rsidRPr="0029343C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koje se sukladno članku 41. stavak 5. Zakonu o zaštiti</w:t>
            </w:r>
            <w:r w:rsidRPr="0029343C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 od požara </w:t>
            </w:r>
            <w:r w:rsidR="0029343C" w:rsidRPr="0029343C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( „Narodne novine“ broj 92/10</w:t>
            </w:r>
            <w:r w:rsidR="00EC5E6F" w:rsidRPr="0029343C">
              <w:rPr>
                <w:rFonts w:ascii="Arial" w:hAnsi="Arial" w:cs="Arial"/>
                <w:sz w:val="20"/>
                <w:szCs w:val="20"/>
              </w:rPr>
              <w:t xml:space="preserve"> i Pravilnika o vatrogasnim aparatima </w:t>
            </w:r>
            <w:r w:rsidR="0029343C" w:rsidRPr="0029343C">
              <w:rPr>
                <w:rFonts w:ascii="Arial" w:hAnsi="Arial" w:cs="Arial"/>
                <w:sz w:val="20"/>
                <w:szCs w:val="20"/>
              </w:rPr>
              <w:t>(</w:t>
            </w:r>
            <w:r w:rsidR="00EC5E6F" w:rsidRPr="0029343C">
              <w:rPr>
                <w:rFonts w:ascii="Arial" w:hAnsi="Arial" w:cs="Arial"/>
                <w:sz w:val="20"/>
                <w:szCs w:val="20"/>
              </w:rPr>
              <w:t>„</w:t>
            </w:r>
            <w:r w:rsidR="00EC5E6F" w:rsidRPr="0029343C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Narodne novine“ broj </w:t>
            </w:r>
            <w:r w:rsidR="0029343C" w:rsidRPr="0029343C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101</w:t>
            </w:r>
            <w:r w:rsidR="00EC5E6F" w:rsidRPr="0029343C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/1</w:t>
            </w:r>
            <w:r w:rsidR="0029343C" w:rsidRPr="0029343C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1</w:t>
            </w:r>
            <w:r w:rsidR="00EC5E6F" w:rsidRPr="0029343C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)   obvezno provodi jednom godišnje</w:t>
            </w:r>
            <w:r w:rsidRPr="0029343C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 </w:t>
            </w:r>
            <w:r w:rsidR="00EC5E6F" w:rsidRPr="0029343C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(</w:t>
            </w:r>
            <w:r w:rsidRPr="0029343C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servis i pregled </w:t>
            </w:r>
            <w:r w:rsidR="00EC5E6F" w:rsidRPr="0029343C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vatrogasnih </w:t>
            </w:r>
            <w:r w:rsidRPr="0029343C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aparata</w:t>
            </w:r>
            <w:r w:rsidR="00EC5E6F" w:rsidRPr="0029343C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)</w:t>
            </w:r>
            <w:r w:rsidRPr="0029343C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.</w:t>
            </w:r>
          </w:p>
        </w:tc>
      </w:tr>
      <w:tr w:rsidR="008726C8" w:rsidRPr="00C078A6" w14:paraId="3D340FA6" w14:textId="77777777" w:rsidTr="00F31DE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886B" w14:textId="77777777" w:rsidR="008726C8" w:rsidRPr="00C078A6" w:rsidRDefault="008726C8" w:rsidP="008726C8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</w:p>
          <w:p w14:paraId="266C00DF" w14:textId="723955A6" w:rsidR="008726C8" w:rsidRPr="00C078A6" w:rsidRDefault="008726C8" w:rsidP="008726C8">
            <w:pPr>
              <w:keepNext/>
              <w:widowControl/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 w:rsidRPr="00C078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OBRAZLOŽENJE PROGRAMA:</w:t>
            </w:r>
          </w:p>
        </w:tc>
        <w:tc>
          <w:tcPr>
            <w:tcW w:w="7212" w:type="dxa"/>
            <w:shd w:val="clear" w:color="auto" w:fill="auto"/>
          </w:tcPr>
          <w:p w14:paraId="186A3305" w14:textId="49396ADA" w:rsidR="008726C8" w:rsidRPr="00C078A6" w:rsidRDefault="00410995" w:rsidP="0029343C">
            <w:pPr>
              <w:widowControl/>
              <w:suppressAutoHyphens w:val="0"/>
              <w:spacing w:after="1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Zbog </w:t>
            </w:r>
            <w:r w:rsidR="00EC5E6F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 xml:space="preserve">spajanja Ureda državne uprave i Jedinica područne (regionalne) samouprave </w:t>
            </w:r>
            <w:r w:rsidR="0029343C">
              <w:rPr>
                <w:rFonts w:ascii="Arial" w:eastAsia="Times New Roman" w:hAnsi="Arial" w:cs="Arial"/>
                <w:sz w:val="20"/>
                <w:szCs w:val="20"/>
                <w:lang w:eastAsia="ar-SA" w:bidi="ar-SA"/>
              </w:rPr>
              <w:t>povećao se broj vatrogasnih aparata za redovno održavanje s 25 na 34. Zbog povećanja cijena usluga i broja vatrogasnih aparata  došlo je do povećanja potrebnih sredstava u proračunu za 20.000,00 kn.</w:t>
            </w:r>
          </w:p>
        </w:tc>
      </w:tr>
    </w:tbl>
    <w:p w14:paraId="1311A382" w14:textId="7C561660" w:rsidR="00076D40" w:rsidRPr="00C078A6" w:rsidRDefault="00076D40">
      <w:pPr>
        <w:rPr>
          <w:sz w:val="20"/>
          <w:szCs w:val="20"/>
        </w:rPr>
      </w:pPr>
    </w:p>
    <w:p w14:paraId="7C517BF4" w14:textId="77777777" w:rsidR="00333816" w:rsidRPr="00C078A6" w:rsidRDefault="00333816"/>
    <w:p w14:paraId="2B0782D7" w14:textId="77777777" w:rsidR="00333816" w:rsidRPr="00C078A6" w:rsidRDefault="00333816"/>
    <w:p w14:paraId="03286D84" w14:textId="40FE17A7" w:rsidR="00333816" w:rsidRPr="00C078A6" w:rsidRDefault="00333816"/>
    <w:p w14:paraId="6EDE2C12" w14:textId="77777777" w:rsidR="00333816" w:rsidRPr="00C078A6" w:rsidRDefault="00333816"/>
    <w:sectPr w:rsidR="00333816" w:rsidRPr="00C07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720BE"/>
    <w:multiLevelType w:val="hybridMultilevel"/>
    <w:tmpl w:val="366413F6"/>
    <w:lvl w:ilvl="0" w:tplc="C128CD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858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93D"/>
    <w:rsid w:val="000172AA"/>
    <w:rsid w:val="00061089"/>
    <w:rsid w:val="00062A07"/>
    <w:rsid w:val="00070041"/>
    <w:rsid w:val="00076D40"/>
    <w:rsid w:val="000C4CF4"/>
    <w:rsid w:val="000C591B"/>
    <w:rsid w:val="00107DFB"/>
    <w:rsid w:val="0015698C"/>
    <w:rsid w:val="001D53B6"/>
    <w:rsid w:val="001E601B"/>
    <w:rsid w:val="0021616E"/>
    <w:rsid w:val="00232A6D"/>
    <w:rsid w:val="0029343C"/>
    <w:rsid w:val="002A5A8D"/>
    <w:rsid w:val="002A643E"/>
    <w:rsid w:val="002F6658"/>
    <w:rsid w:val="00333816"/>
    <w:rsid w:val="00375636"/>
    <w:rsid w:val="003812B2"/>
    <w:rsid w:val="003B44D3"/>
    <w:rsid w:val="003B4FF5"/>
    <w:rsid w:val="00403093"/>
    <w:rsid w:val="00410995"/>
    <w:rsid w:val="00423217"/>
    <w:rsid w:val="004441EE"/>
    <w:rsid w:val="00447D7B"/>
    <w:rsid w:val="0045470E"/>
    <w:rsid w:val="0052015F"/>
    <w:rsid w:val="00542E99"/>
    <w:rsid w:val="00590DC1"/>
    <w:rsid w:val="005E202C"/>
    <w:rsid w:val="005F3E33"/>
    <w:rsid w:val="005F5E15"/>
    <w:rsid w:val="00616E2E"/>
    <w:rsid w:val="00620034"/>
    <w:rsid w:val="00624083"/>
    <w:rsid w:val="006307AE"/>
    <w:rsid w:val="00663761"/>
    <w:rsid w:val="006B0C96"/>
    <w:rsid w:val="007256DC"/>
    <w:rsid w:val="007436DB"/>
    <w:rsid w:val="00754D29"/>
    <w:rsid w:val="0076298F"/>
    <w:rsid w:val="00771BB8"/>
    <w:rsid w:val="00776471"/>
    <w:rsid w:val="0077685E"/>
    <w:rsid w:val="007815A6"/>
    <w:rsid w:val="007950CA"/>
    <w:rsid w:val="007A0180"/>
    <w:rsid w:val="007B572B"/>
    <w:rsid w:val="007B600F"/>
    <w:rsid w:val="008363D9"/>
    <w:rsid w:val="00865BB3"/>
    <w:rsid w:val="008726C8"/>
    <w:rsid w:val="00930872"/>
    <w:rsid w:val="00977EB7"/>
    <w:rsid w:val="009A5E2D"/>
    <w:rsid w:val="00A85278"/>
    <w:rsid w:val="00AA1831"/>
    <w:rsid w:val="00AE71F6"/>
    <w:rsid w:val="00B92693"/>
    <w:rsid w:val="00BA593D"/>
    <w:rsid w:val="00BC122B"/>
    <w:rsid w:val="00BE14BA"/>
    <w:rsid w:val="00BF3C68"/>
    <w:rsid w:val="00C04A6F"/>
    <w:rsid w:val="00C078A6"/>
    <w:rsid w:val="00C24001"/>
    <w:rsid w:val="00C5063A"/>
    <w:rsid w:val="00C75AD0"/>
    <w:rsid w:val="00C80E44"/>
    <w:rsid w:val="00CB6EAB"/>
    <w:rsid w:val="00CC4C67"/>
    <w:rsid w:val="00CD4EA8"/>
    <w:rsid w:val="00CD5B5A"/>
    <w:rsid w:val="00CF0E79"/>
    <w:rsid w:val="00D2629A"/>
    <w:rsid w:val="00D2724F"/>
    <w:rsid w:val="00D376EF"/>
    <w:rsid w:val="00D45283"/>
    <w:rsid w:val="00DA3A84"/>
    <w:rsid w:val="00DB5FDA"/>
    <w:rsid w:val="00DD2DD7"/>
    <w:rsid w:val="00E46DB9"/>
    <w:rsid w:val="00E52250"/>
    <w:rsid w:val="00E6743C"/>
    <w:rsid w:val="00E76B39"/>
    <w:rsid w:val="00EC5E6F"/>
    <w:rsid w:val="00EE331D"/>
    <w:rsid w:val="00F269D1"/>
    <w:rsid w:val="00F31DE9"/>
    <w:rsid w:val="00F8116C"/>
    <w:rsid w:val="00F820C7"/>
    <w:rsid w:val="00F96C79"/>
    <w:rsid w:val="00FD3CE9"/>
    <w:rsid w:val="00FD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10289"/>
  <w15:docId w15:val="{6478756F-DED5-4EB2-95E9-FC198EDC8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816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rsid w:val="00590DC1"/>
    <w:pPr>
      <w:widowControl/>
      <w:suppressAutoHyphens w:val="0"/>
      <w:ind w:left="708"/>
    </w:pPr>
    <w:rPr>
      <w:rFonts w:eastAsia="Times New Roman" w:cs="Times New Roman"/>
      <w:kern w:val="0"/>
      <w:lang w:eastAsia="en-US" w:bidi="ar-SA"/>
    </w:rPr>
  </w:style>
  <w:style w:type="paragraph" w:styleId="Odlomakpopisa">
    <w:name w:val="List Paragraph"/>
    <w:basedOn w:val="Normal"/>
    <w:uiPriority w:val="34"/>
    <w:qFormat/>
    <w:rsid w:val="007A0180"/>
    <w:pPr>
      <w:ind w:left="720"/>
      <w:contextualSpacing/>
    </w:pPr>
    <w:rPr>
      <w:rFonts w:cs="Mangal"/>
      <w:szCs w:val="21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70041"/>
    <w:rPr>
      <w:rFonts w:ascii="Segoe UI" w:hAnsi="Segoe UI" w:cs="Mangal"/>
      <w:sz w:val="18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70041"/>
    <w:rPr>
      <w:rFonts w:ascii="Segoe UI" w:eastAsia="SimSun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9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smz100</dc:creator>
  <cp:keywords/>
  <dc:description/>
  <cp:lastModifiedBy>smz smz</cp:lastModifiedBy>
  <cp:revision>2</cp:revision>
  <cp:lastPrinted>2022-07-07T12:37:00Z</cp:lastPrinted>
  <dcterms:created xsi:type="dcterms:W3CDTF">2022-07-07T18:30:00Z</dcterms:created>
  <dcterms:modified xsi:type="dcterms:W3CDTF">2022-07-07T18:30:00Z</dcterms:modified>
</cp:coreProperties>
</file>